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74</w:t>
      </w:r>
    </w:p>
    <w:p>
      <w:r>
        <w:t>Bundesgericht (BGE), 1986-02-21, DE</w:t>
      </w:r>
    </w:p>
    <w:p>
      <w:r>
        <w:rPr>
          <w:b/>
        </w:rPr>
        <w:t xml:space="preserve">Quelle: </w:t>
      </w:r>
      <w:r>
        <w:t>https://mcp.opencaselaw.ch/entscheid/bge_BGE_112_V_74</w:t>
      </w:r>
    </w:p>
    <w:p>
      <w:r>
        <w:t>FR: ATF 112 V 74</w:t>
      </w:r>
    </w:p>
    <w:p>
      <w:r>
        <w:t>IT: DTF 112 V 74</w:t>
      </w:r>
    </w:p>
    <w:p>
      <w:pPr>
        <w:pStyle w:val="Heading2"/>
      </w:pPr>
      <w:r>
        <w:t>Regeste</w:t>
      </w:r>
    </w:p>
    <w:p>
      <w:r>
        <w:t>Regeste Art. 55 VwVG. Zeitliche Auswirkungen des Suspensiveffekts einer Beschwerde, wenn diese abgewiesen wird.</w:t>
      </w:r>
    </w:p>
    <w:p>
      <w:r>
        <w:t>Regeste Art. 55 PA. Validité dans le temps de l'effet suspensif d'un recours lorsque ce dernier est rejeté.</w:t>
      </w:r>
    </w:p>
    <w:p>
      <w:r>
        <w:t>Regesto Art. 55 PA. Conseguenze nel tempo dell'effetto sospensivo assegnato a un ricorso, quando quest'ultimo viene respinto.</w:t>
      </w:r>
    </w:p>
    <w:p>
      <w:pPr>
        <w:pStyle w:val="Heading2"/>
      </w:pPr>
      <w:r>
        <w:t>Erwägungen</w:t>
      </w:r>
    </w:p>
    <w:p>
      <w:r>
        <w:rPr>
          <w:b/>
        </w:rPr>
        <w:t>E. 1</w:t>
      </w:r>
    </w:p>
    <w:p>
      <w:r>
        <w:t>Die Verwaltungsbeschwerde, welche das Merian-Iselin-Spital beim Bundesrat einreichte, hatte gemäss Art. 55 Abs. 1 in Verbindung mit Art. 77 VwVG aufschiebende Wirkung. Bis zum 17. März 1982, als das Eidgenössische Justiz- und Polizeidepartement in Anwendung von Art. 55 Abs. 2 VwVG der Beschwerde die aufschiebende Wirkung entzog, war somit der angefochtene Regierungsratsbeschluss vom 12. Mai 1981, der am 1. Juli 1981 hätte "in Wirksamkeit" treten sollen, nicht vollstreckbar. In diese Zeit der fehlenden Vollstreckbarkeit fiel die ambulante Untersuchung der Beschwerdegegnerin im Merian-Iselin-Spital, weshalb dieses in seiner Rechnung vom 2. März 1982 die im Regierungsratsbeschluss vorgesehene 20%ige Reduktion zunächst zu Recht nicht vornahm. BGE 112 V 74 S. 76 Es fragt sich aber, ob es dabei auch nach Erlass des bundesrätlichen Beschwerdeentscheides sein Bewenden oder ob dieser einen Einfluss auf die Geltung des Suspensiveffekts habe. Dabei spielt es keine Rolle, dass der Bundesrat die Verwaltungsbeschwerde nicht materiell abwies, sondern auf Nichteintreten aus prozessualen Gründen erkannte; denn in beiden Fällen bewirkte der Entscheid, dass der Regierungsratsbeschluss in Rechtskraft trat.</w:t>
      </w:r>
    </w:p>
    <w:p>
      <w:r>
        <w:rPr>
          <w:b/>
        </w:rPr>
        <w:t>E. 2</w:t>
      </w:r>
    </w:p>
    <w:p>
      <w:r>
        <w:t>a) Die Frage, ob der angefochtene Regierungsratsbeschluss während der Dauer des Suspensiveffekts der gegen ihn erhobenen Verwaltungsbeschwerde auch dann nicht vollstreckt werden kann, wenn er im Beschwerdeverfahren bestätigt wird, oder ob der den Beschluss bestätigende Beschwerdeentscheid die rückwirkende Aufhebung des Suspensiveffekts bewirkt, lässt sich nicht einheitlich ein für allemal beantworten. Es kommt auf die Besonderheiten des Einzelfalles und auf die jeweilige Interessenlage an ( BGE 106 Ia 159 Erw. 5). b) Es gibt Fälle, in denen es gar nicht möglich ist, die Vergangenheit rückgängig zu machen. So wäre es sinnlos, jemanden rückwirkend dazu zu verpflichten, Vorsichtsmassnahmen zu ergreifen (KNAPP, Grundlagen des Verwaltungsrechts, S. 132). Gleiches gilt bezüglich des rückwirkenden Entzugs eines Führerscheins, den der Betroffene dank dem Suspensiveffekt bis zum Datum des Endentscheides besass; abgesehen davon würde sich der Motorfahrzeugführer im nachhinein einer Strafverfolgung aussetzen, wenn er während des seinerzeit geltenden, nun aber rückwirkend aufgehobenen Suspensiveffekts ein Motorfahrzeug geführt hätte (GRISEL, Traité de droit administratif, S. 923; BGE 106 Ia 158 f.), eine Folge, die unhaltbar wäre. Sodann gibt es Fälle, in denen sich die nachträgliche Vollstreckung für die Dauer des geltenden Suspensiveffekts aus praktischen Gründen gar nicht realisieren liesse. So verhielt es sich bei der Beschwerde einiger Erdölgesellschaften gegen eine Verfügung des Preisüberwachers, mit welcher ihnen unter Entzug des Suspensiveffekts eine Preiserhöhung untersagt worden war ( BGE 99 Ib 215 ); eine nachträgliche Aufhebung des Suspensiveffekts hätte jenen Firmen nichts genützt, weil es praktisch unmöglich gewesen wäre, von allen in der Zwischenzeit belieferten Kunden die Preisdifferenz nachzufordern ( BGE 106 Ia 159 ). Anders verhält es sich diesbezüglich bei einer Verwaltungsgerichtsbeschwerde betreffend die Erhöhung der Prämien der Motorfahrzeughaftpflichtversicherung. Einerseits lässt sich die Prämienerhöhung BGE 112 V 74 S. 77 ohne weiteres nachfordern. Anderseits durfte die der Beschwerde zuteil gewordene aufschiebende Wirkung nicht zur Folge haben, dass die Versicherungsgesellschaften die erhöhten Prämien erst für die Zeit nach dem bundesgerichtlichen Urteil über die Verwaltungsgerichtsbeschwerde hätten einfordern können. Denn es gilt der Grundsatz, dass die aufschiebende Wirkung nicht dem unterliegenden Beschwerdeführer zum Schaden des obsiegenden Beschwerdegegners einen materiell-rechtlichen Vorteil bringen darf (GYGI, Bundesverwaltungsrechtspflege, 2. Aufl., S. 245, und GYGI, Aufschiebende Wirkung und vorsorgliche Massnahmen in der Verwaltungsrechtspflege, in: ZBl 77/1976, S. 11 f.; BGE 106 Ia 158 ff.). c) Somit muss in jedem einzelnen Fall geprüft werden, welche Tragweite vernünftigerweise dem Suspensiveffekt zuzumessen ist bzw. welchen Zwecken er vernünftigerweise und legitimerweise dienen soll ( BGE 106 Ia 159 Erw. 5). Diese Auffassung vertritt auch GRISEL (S. 922 f.). GYGI, Bundesverwaltungsrechtspflege (S. 245), und KNAPP (S. 132 f.) neigen dazu, in den meisten Fällen eine rückwirkende Aufhebung des Suspensiveffekts anzunehmen. Dieselbe Betrachtungsweise lässt sich indirekt auch dem Urteil BGE 105 V 266 entnehmen.</w:t>
      </w:r>
    </w:p>
    <w:p>
      <w:r>
        <w:rPr>
          <w:b/>
        </w:rPr>
        <w:t>E. 3</w:t>
      </w:r>
    </w:p>
    <w:p>
      <w:r>
        <w:t>Demnach fragt es sich also auch im vorliegenden Fall, welche Gründe für und welche gegen eine rückwirkende Aufhebung des Suspensiveffekts sprechen. a) Der Beschwerdeführer weist zunächst darauf hin, dass eine rückwirkende Aufhebung des Suspensiveffekts eine nachträgliche Änderung einer Unzahl von Rechtsverhältnissen zur Folge hätte, die zwischen dem 1. Juli 1981 und dem 17. März 1982 vollendet worden sind. Selbst wenn dem so wäre, würde dies die nachträgliche Vollstreckung des Regierungsratsbeschlusses für die fragliche Zeit faktisch nicht verunmöglichen. Die Rechnungsunterlagen betreffend die ambulanten Behandlungen zwischen dem 1. Juli 1981 und 17. März 1982 müssen beim Beschwerdeführer vorhanden sein, was erlauben würde, ohne unzumutbaren administrativen Aufwand die 20%ige Reduktion gemäss Regierungsratsbeschluss vorzunehmen und die entsprechenden Beträge den Berechtigten zurückzuerstatten. Der nachträgliche Vollzug des Regierungsratsbeschlusses erweist sich also weder als unmöglich, noch zeitigt er unerwünschte oder unzumutbare Folgen. b) Der Beschwerdeführer meint ferner, es müsse unterschieden werden zwischen den ordentlichen Rechtsmitteln einerseits, die BGE 112 V 74 S. 78 sich gegen einen noch nicht rechtskräftigen Entscheid richten, und den ausserordentlichen Rechtsmitteln anderseits, die gegen einen rechtskräftigen Entscheid gerichtet sind. Nur beim ausserordentlichen Rechtsmittel - das sich gegen einen rechtskräftigen Entscheid richtet und wo die aufschiebende Wirkung durch eine prozessleitende Verfügung angeordnet werden muss - sei es denkbar, dass der Suspensiveffekt im Falle der späteren Abweisung des Rechtsmittels rückwirkend auf den Zeitpunkt der bereits eingetretenen Rechtskraft des angefochtenen Entscheides wieder dahinfalle. Im Gegensatz dazu bestehe beim ordentlichen Rechtsmittel bis zum Endentscheid noch keine Rechtskraft. Da es sich bei der Verwaltungsbeschwerde an den Bundesrat um ein ordentliches Rechtsmittel handle, könne der Regierungsratsbeschluss nicht vollstreckt werden, bevor er in Kraft getreten sei. Soweit sich der Beschwerdeführer in diesem Zusammenhang unter Hinweis auf GULDENER (Schweizerisches Zivilprozessrecht) auf zivilprozessuale Grundsätze beruft, sind seine Darlegungen nicht stichhaltig. Es trifft zwar zu, dass die Unterscheidung zwischen ordentlichen und ausserordentlichen Rechtsmitteln nicht nur dem Zivilprozess, sondern auch dem öffentlichrechtlichen Prozess eigen ist. Aber es müssen sich nicht notwendigerweise dieselben Folgerungen wie im Zivilprozess ergeben. Bezüglich der aufschiebenden Wirkung im öffentlichrechtlichen Prozess unterscheidet weder die Rechtsprechung noch die Lehre zwischen ordentlichen Rechtsmitteln (Verwaltungsbeschwerde und Verwaltungsgerichtsbeschwerde) und ausserordentlichen Rechtsmitteln (z.B. staatsrechtliche Beschwerde). Der mehrfach zitierte BGE 106 Ia 155 betraf eine staatsrechtliche Beschwerde. Die Präjudizien, welche das Bundesgericht in diesem Urteil anruft ( BGE 99 Ib 51 und 215), hatten aber gerade ordentliche Rechtsmittel zum Gegenstand. Und schliesslich beziehen sich die Ausführungen in der Literatur ganz generell auf alle Arten von Rechtsmitteln, wenn nicht gar vorwiegend auf die ordentlichen (vgl. auch KNAPP, L'effectivité des décisions de justice, in: ZBl 86/1985, S. 465 ff.). c) Einer der wesentlichsten Gesichtspunkte für die Beurteilung der Streitfrage besteht darin, dass "der durch die aufschiebende Wirkung ausgelöste Schwebezustand dem unterliegenden Beschwerdeführer nicht zum Schaden des Beschwerdegegners einen Vorteil einbringen darf" (GYGI, Bundesverwaltungsrechtspflege, S. 245; BGE 106 Ia 160 ). Das aber wäre der Fall, wenn man der Auffassung des Beschwerdeführers folgen würde. Daran vermag BGE 112 V 74 S. 79 nichts zu ändern, was in der Verwaltungsgerichtsbeschwerde vorgebracht wird. Demnach hat es bei der auf den 1. Juli 1981 rückwirkenden Aufhebung des Suspensiveffekts sein Bewenden. Daraus ergibt sich, dass der Beschwerdeführer verpflichtet ist, der Beschwerdegegnerin den Betrag von Fr. 59.50 zurückzuerstatten.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