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333</w:t>
      </w:r>
    </w:p>
    <w:p>
      <w:r>
        <w:t>Bundesgericht (BGE), 1986-08-18, DE</w:t>
      </w:r>
    </w:p>
    <w:p>
      <w:r>
        <w:rPr>
          <w:b/>
        </w:rPr>
        <w:t xml:space="preserve">Quelle: </w:t>
      </w:r>
      <w:r>
        <w:t>https://mcp.opencaselaw.ch/entscheid/bge_BGE_112_V_333</w:t>
      </w:r>
    </w:p>
    <w:p>
      <w:r>
        <w:t>FR: ATF 112 V 333</w:t>
      </w:r>
    </w:p>
    <w:p>
      <w:r>
        <w:t>IT: DTF 112 V 333</w:t>
      </w:r>
    </w:p>
    <w:p>
      <w:pPr>
        <w:pStyle w:val="Heading2"/>
      </w:pPr>
      <w:r>
        <w:t>Regeste</w:t>
      </w:r>
    </w:p>
    <w:p>
      <w:r>
        <w:t>Regeste Art. 30bis Abs. 3 lit. a KUVG: Kostenauflage. - Bei leichtsinnigem oder mutwilligem Verhalten im kantonalen Beschwerdeverfahren können die Gerichtskosten auch dem Beschwerdegegner auferlegt werden (Änderung der Rechtsprechung; Erw. 4). - Begriff des leichtsinnigen oder mutwilligen Verhaltens im Prozess (Erw. 5).</w:t>
      </w:r>
    </w:p>
    <w:p>
      <w:r>
        <w:t>Regeste Art. 30bis al. 3 let. a LAMA: Charge des frais. - Les frais de justice peuvent aussi être mis à la charge de la partie intimée qui fait preuve de légèreté ou de témérité en procédure cantonale de recours (changement de jurisprudence; consid. 4). - Notion de légèreté ou de témérité dans le cadre d'un procès (consid. 5).</w:t>
      </w:r>
    </w:p>
    <w:p>
      <w:r>
        <w:t>Regesto Art. 30bis cpv. 3 lett. a LAMI: Imposizione delle spese. - In caso di leggerezza o di ricorso temerario nella procedura cantonale le spese di giustizia possono essere poste a carico anche della parte resistente (cambiamento di giurisprudenza; consid. 4). - Nozione di leggerezza e temerarietà in un procedimento (consid. 5).</w:t>
      </w:r>
    </w:p>
    <w:p>
      <w:pPr>
        <w:pStyle w:val="Heading2"/>
      </w:pPr>
      <w:r>
        <w:t>Erwägungen</w:t>
      </w:r>
    </w:p>
    <w:p>
      <w:r>
        <w:rPr>
          <w:b/>
        </w:rPr>
        <w:t>E. 4</w:t>
      </w:r>
    </w:p>
    <w:p>
      <w:r>
        <w:t>a) Die Krankenkasse stützt ihren Antrag in erster Linie auf den Umstand, dass gemäss dem Wortlaut von Art. 30bis Abs. 3 lit. a KUVG im Verfahren vor dem kantonalen Versicherungsgericht einzig dem Beschwerdeführer bei leichtsinniger oder mutwilliger Beschwerdeführung die Gerichtskosten überbunden werden können. Das Nichterwähnen des Beschwerdegegners in der BGE 112 V 333 S. 334 erwähnten Bestimmung stelle ein qualifiziertes Schweigen des Gesetzgebers dar, welches weder durch Lückenfüllung noch durch kantonales Recht abgeändert werden könne. Im übrigen sehe das kantonale Recht keine abweichende Regelung vor. b) Das Eidg. Versicherungsgericht hat in seiner bisherigen Rechtsprechung sich nur in seltenen Fällen zur Regelung von Art. 30bis Abs. 3 lit. a KUVG - bzw. zur identischen Regelung von Art. 85 Abs. 2 lit. a AHVG - ausgesprochen. In EVGE 1968 S. 22 musste es den Fall beurteilen, wo eine Vorinstanz nicht dem Beschwerdeführer, sondern dem Beschwerdegegner die Gerichtskosten wegen leichtsinniger oder mutwilliger Prozessführung überbunden hat. Es gelangte zum Schluss, dass aufgrund des Gesetzeswortlautes diese Kosten-Auferlegung zweifellos unzulässig sei. Anderseits musste es zur Frage Stellung nehmen, ob die Kosten eines gerichtlichen Gutachtens vom Gericht oder von der Verwaltung zu tragen sind. Es hat sie dahin beantwortet, dass die Begutachtungskosten zu den Gerichtskosten gehören und deshalb vom Gericht übernommen werden müssten; eine Ausnahme von dieser Regel könnte gemacht werden, wenn eine Verwaltungsstelle die Verfügung aufgrund unvollständiger Akten erlassen und durch ihren Leichtsinn das Gericht zur weitern Abklärung gezwungen hat (EVGE 1955 S. 206; RKUV 1985 Nr. 637 S. 196; RSKV 1973 Nr. 167 S. 66 Erw. 4). c) Im Sinne der letzterwähnten Urteile ist nicht einzusehen, warum nur der Beschwerdeführer (d.h. normalerweise der Versicherte), der sich im kantonalen Verwaltungsgerichtsverfahren leichtsinnig oder mutwillig verhält, die Kosten übernehmen soll; es wäre unbillig, bei einem gleichen Verhalten den Beschwerdegegner (d.h. praxisgemäss meistens die Verwaltung) nicht die gleichen Folgen tragen zu lassen. Entgegen der Auffassung der Krankenkasse kann somit nicht auf ein qualifiziertes Schweigen des Gesetzgebers geschlossen werden. An der durch EVGE 1968 S. 22 begründeten Praxis kann somit nicht festgehalten werden. Bei leichtsinnigem oder mutwilligem Verhalten sollen jeder Partei die Kosten überbunden werden können.</w:t>
      </w:r>
    </w:p>
    <w:p>
      <w:r>
        <w:rPr>
          <w:b/>
        </w:rPr>
        <w:t>E. 5</w:t>
      </w:r>
    </w:p>
    <w:p>
      <w:r>
        <w:t>Zu prüfen bleibt, ob vorliegend die Voraussetzungen für die Überbindung der Gerichtskosten auf die Krankenkasse erfüllt waren. a) Leichtsinnige oder mutwillige Prozessführung kann vorliegen, wenn die Partei ihre Stellungnahme auf einen Sachverhalt abstützt, von dem sie weiss oder bei der ihr zumutbaren Sorgfalt BGE 112 V 333 S. 335 wissen müsste, dass er unrichtig ist (RSKV 1979 Nr. 383 S. 220 Erw. 4; unveröffentlichtes Urteil Verdun vom 1. Juni 1978). Mutwillige Prozessführung kann etwa auch angenommen werden, wenn eine Partei eine ihr in dieser Eigenschaft obliegende Pflicht (z.B. Mitwirkungs-, Unterlassungspflicht) verletzt (unveröffentlichtes Urteil Righetti vom 27. Oktober 1983) oder wenn sie noch vor der Rekursbehörde an einer offensichtlich gesetzwidrigen Auffassung festhält (in BGE 99 V 145 nicht veröffentlichte, aber in ZAK 1973 S. 429 publizierte Erw. 4 des Urteils Ortiz vom 10. Januar 1973). Leichtsinnige oder mutwillige Prozessführung liegt aber so lange nicht vor, als es der Partei darum geht, einen bestimmten, nicht als willkürlich erscheinenden Standpunkt durch den Richter beurteilen zu lassen; dies gilt auch dann, wenn der Richter die Partei im Laufe des Verfahrens von der Unrichtigkeit ihres Standpunktes überzeugen und zu einem entsprechenden Verhalten (Beschwerderückzug) veranlassen will (unveröffentlichte Urteile Brülhart vom 28. August 1978, Boss vom 9. Juni 1978 und Billari vom 16. Oktober 1967). b) Vorliegend begründete die Vorinstanz in Gutheissung der Beschwerde die Leistungspflicht der Krankenkasse gegenüber der Versicherten in erster Linie damit, dass die operative Brustverkleinerung nicht blossen kosmetischen Bedürfnissen (wie die Kasse geltend machte), sondern der Behebung von krankhaften Folgeerscheinungen gedient habe. Im übrigen müsste die Krankenkasse ihre Leistung aber auch aufgrund der klaren Kostenübernahmezusicherung erbringen, die sie der Versicherten abgegeben habe, nachdem sie von dieser in genügender Weise orientiert worden sei. Mit der Überbindung der Gerichtskosten werde auch dem Umstand Rechnung getragen, dass die vorinstanzliche Hauptverhandlung nur wegen mutwilligen Verhaltens der Krankenkasse habe durchgeführt werden müssen. Die Versicherte habe nach Erhalt der Vorladung zur Verhandlung die Unterlagen von vier Ärzten dem Gericht zugestellt; das Gericht seinerseits habe diese Urkunden, die sich zuvor noch nicht bei den Akten befunden hätten, umgehend der Kasse zukommen lassen in der Meinung, diese würde die Beschwerde anerkennen, da sich aufgrund der neuen Unterlagen eine Leistungspflicht der Kasse ohne weiteres ergeben habe. c) Die Krankenkasse macht ihrerseits geltend, der Vorwurf, sie habe die Beschwerde nicht anerkannt, sei unbegründet. Denn BGE 112 V 333 S. 336 einerseits stehe der Krankenkasse das Recht zu, ein materielles Urteil zu verlangen. Anderseits wäre das Gericht aufgrund der Offizialmaxime, welche grundsätzlich sowohl den Vergleich als auch die Anerkennung, wie man sie im Zivilprozess kennt, ausschliesst, ohnehin nicht um die materielle Entscheidung herumgekommen (RSKV 1983 Nr. 520 S. 37). In materieller Hinsicht habe man in guten Treuen geteilter Meinung sein können, ob die körperliche Deformation der Versicherten Krankheitswert besessen habe oder nicht und ob je nachdem die Brustreduktion als Pflichtleistung oder als kosmetische Operation erschienen sei. Schliesslich sei nicht belegt, dass die Kassierin von der eigentlichen Operation tatsächlich Kenntnis hatte, als sie die Garantie erteilte. d) Es mag als wenig verständlich erscheinen, dass die Krankenkasse die Beschwerde nicht "anerkannt" hat, nachdem sie die fraglichen Urkunden zugestellt erhalten und die Rechtsbelehrung des Gerichtes entgegengenommen hatte. Es ist aber zu bedenken, dass eine "Anerkennung" der Begehren der Versicherten erst kurz vor der vorinstanzlichen Hauptverhandlung in Frage gekommen wäre, dann nämlich, als die Versicherte die Belege der vier Ärzte dem Gericht aufgelegt hatte. In diesem Zeitpunkt war die Möglichkeit für die Kasse, ihre angefochtene Verfügung im Sinne von Art. 58 VwVG in Wiedererwägung zu ziehen, längst vorbei. Die Kasse macht daher zu Recht geltend, dass das Gericht auch bei einer "Anerkennung" ein materielles Urteil hätte fällen müssen. Weshalb die Versicherte die genannten Belege erst in einem so späten Prozessstadium auflegte, ist hier nicht zu prüfen; aber es ist klar, dass sich damit für die Kasse eine ganz andere Prozesssituation ergab, als wenn jene Belege von Prozessbeginn an bei den Akten gelegen hätten. Aufgrund dieser Umstände kann das Verhalten der Krankenkasse nicht als leichtsinnig oder mutwillig im Sinne der erwähnten Rechtsprechung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