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255</w:t>
      </w:r>
    </w:p>
    <w:p>
      <w:r>
        <w:t>Bundesgericht (BGE), 1986-09-22, DE</w:t>
      </w:r>
    </w:p>
    <w:p>
      <w:r>
        <w:rPr>
          <w:b/>
        </w:rPr>
        <w:t xml:space="preserve">Quelle: </w:t>
      </w:r>
      <w:r>
        <w:t>https://mcp.opencaselaw.ch/entscheid/bge_BGE_112_V_255</w:t>
      </w:r>
    </w:p>
    <w:p>
      <w:r>
        <w:t>FR: ATF 112 V 255</w:t>
      </w:r>
    </w:p>
    <w:p>
      <w:r>
        <w:t>IT: DTF 112 V 255</w:t>
      </w:r>
    </w:p>
    <w:p>
      <w:pPr>
        <w:pStyle w:val="Heading2"/>
      </w:pPr>
      <w:r>
        <w:t>Regeste</w:t>
      </w:r>
    </w:p>
    <w:p>
      <w:r>
        <w:t>Regeste Art. 35 OG. Voraussetzungen, unter denen Krankheit als Wiederherstellungsgrund gilt (Erw. 2a).</w:t>
      </w:r>
    </w:p>
    <w:p>
      <w:r>
        <w:t>Regeste Art. 35 OJ. Conditions auxquelles une maladie constitue une cause de restitution du délai (consid. 2a).</w:t>
      </w:r>
    </w:p>
    <w:p>
      <w:r>
        <w:t>Regesto Art. 35 OG. Presupposti perché una malattia costituisca motivo di restituzione del termine (consid. 2a).</w:t>
      </w:r>
    </w:p>
    <w:p>
      <w:pPr>
        <w:pStyle w:val="Heading2"/>
      </w:pPr>
      <w:r>
        <w:t>Erwägungen</w:t>
      </w:r>
    </w:p>
    <w:p>
      <w:r>
        <w:rPr>
          <w:b/>
        </w:rPr>
        <w:t>E. 2</w:t>
      </w:r>
    </w:p>
    <w:p>
      <w:r>
        <w:t>a) Die versäumte Frist kann wiederhergestellt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 (Art. 35 Abs. 1 in Verbindung mit Art. 135 OG ). Das Gesetz lässt somit die Wiederherstellung nur zu, wenn der Partei (und gegebenenfalls ihrem Vertreter) kein Vorwurf gemacht werden kann ( BGE 110 Ib 95 Erw. 2, BGE 107 Ia 169 Erw. 2a). Krankheit (wie im übrigen auch schweizerischer obligatorischer Militärdienst [vgl. BGE 104 IV 210 Erw. 3]) kann ein unverschuldetes, zur Wiederherstellung führendes Hindernis sein ( BGE 108 V 110 Erw. 2c; EVGE 1969 S. 149; GYGI, Bundesverwaltungsrechtspflege, 2. Aufl., S. 62; GRISEL, Traité de droit administratif, S. 896). Doch muss die Erkrankung derart sein, dass der Rechtsuchende durch sie davon abgehalten wird, selber innert Frist zu handeln oder doch eine Drittperson mit der Vornahme der Prozesshandlung zu betrauen (EVGE 1969 S. 150). So hat das Eidg. Versicherungsgericht die Wiederherstellung gewährt: einem an einer schweren Lungenentzündung leidenden, hospitalisierten 60jährigen Versicherten (in BGE 102 V 140 nicht veröffentlichte Erw. 1 des Urteils Poltera vom 14. September 1976), BGE 112 V 255 S. 256 ebenso einem Versicherten, der wegen schwerer nachoperativer Blutungen massive zerebrale Veränderungen aufwies, intellektuell stark beeinträchtigt und daher während der gesamten Rechtsmittelfrist weder fähig war, selber Beschwerde zu erheben, noch sich bewusst werden konnte, dass er jemanden mit der Interessenwahrung hätte betrauen sollen (ZAK 1981 S. 523 Erw. 2b). Nicht gewährt hat das Gericht die Wiederherstellung dagegen in Fällen eines immobilisierten rechten Armes bzw. einer schweren Grippe, wo keine objektiven Anhaltspunkte dafür bestanden und dies auch nicht weiter belegt wurde, dass der Rechtsuchende nicht imstande gewesen wäre, trotz der Behinderung fristgerecht zu handeln oder nötigenfalls einen Vertreter mit der Interessenwahrung zu beauftragen (unveröffentlichte Urteile van Driesten vom 21. Februar 1984 und Reichlin vom 29. Juni 1977). Hindert die Krankheit den Rechtsuchenden zwar daran, selber zu handeln, könnte er aber in nach den Umständen zumutbarer Weise einen Dritten mit der Interessenwahrung beauftragen, so kann die Wiederherstellung nach dem Gesagten ebenfalls nicht gewährt werden, wenn die Partei den Beizug eines Vertreters versäumt (unveröffentlichtes Urteil Lanni vom 26. Juni 1984; GULDENER, Schweizerisches Zivilprozessrecht, 3. Aufl., S. 273, Anm. 41; GYGI/STUCKI, Handkommentar zum bernischen Gesetz über die Verwaltungsrechtspflege, 1962, S. 113). Bedeutsam für die Frage, ob Krankheit im Sinne eines unverschuldeten Hindernisses die Partei von eigenem fristgerechten Handeln oder der Beauftragung eines Dritten abgehalten hat, ist vor allem die letzte Zeit der Rechtsmittelfrist, weil die gesetzliche Regelung jedermann dazu berechtigt, die notwendige Rechtsschrift erst gegen das Ende der Frist auszuarbeiten und einzureichen (EVGE 1969 S. 149 f. mit Hinweisen; unveröffentlichte Urteile Gianotti vom 6. Dezember 1984 und Egloff vom 3. April 1973). Erkrankt die Partei eine gewisse Zeit vor Fristablauf, so ist es ihr in aller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gewähren ist (GRISEL, a.a.O., S. 896).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