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339 vom 1. Januar 1986</w:t>
      </w:r>
    </w:p>
    <w:p>
      <w:r>
        <w:t>Bundesgericht (BGE), 1986-01-01, DE</w:t>
      </w:r>
    </w:p>
    <w:p>
      <w:r>
        <w:rPr>
          <w:b/>
        </w:rPr>
        <w:t xml:space="preserve">Quelle: </w:t>
      </w:r>
      <w:r>
        <w:t>https://mcp.opencaselaw.ch/entscheid/bge_BGE_112_Ib_339</w:t>
      </w:r>
    </w:p>
    <w:p>
      <w:r>
        <w:t>FR: BGE BGE 112 Ib 339 du 1 janvier 1986</w:t>
      </w:r>
    </w:p>
    <w:p>
      <w:r>
        <w:t>IT: BGE BGE 112 Ib 339 del 1 gennaio 1986</w:t>
      </w:r>
    </w:p>
    <w:p>
      <w:pPr>
        <w:pStyle w:val="Heading2"/>
      </w:pPr>
      <w:r>
        <w:t>Regeste</w:t>
      </w:r>
    </w:p>
    <w:p>
      <w:r>
        <w:t>Regeste Art. 88 und 89 IRSG; Übertragung der Strafverfolgung an das Ausland. Es ist zulässig, dem Ersuchen um Übernahme eines Strafverfahrens durch den ausländischen Staat die Auflage beizufügen, dass der ersuchte Staat die aus den schweizerischen Akten erlangten Kenntnisse nicht zur Verfolgung des Betroffenen oder Dritter wegen Fiskaldelikten und ähnlicher Strafsachen verwenden darf.</w:t>
      </w:r>
    </w:p>
    <w:p>
      <w:r>
        <w:t>Regeste Art. 88 et 89 EIMP; délégation de la poursuite pénale à l'étranger. La demande adressée à l'Etat étranger d'assumer la poursuite pénale peut être assortie d'une condition lui interdisant d'utiliser les informations recueillies dans le dossier constitué en Suisse aux fins de poursuivre l'intéressé ou des tiers pour des délits fiscaux ou des infractions analogues.</w:t>
      </w:r>
    </w:p>
    <w:p>
      <w:r>
        <w:t>Regesto Art. 88 e 89 AIMP; delega all'estero del perseguimento penale. La domanda rivolta allo Stato estero di assumere il perseguimento penale può contenere la condizione secondo cui gli è vietato di utilizzare le informazioni desumibili dall'inserto costituito in Svizzera, allo scopo di perseguire l'interessato o terzi per reati fiscali o infrazioni analoghe.</w:t>
      </w:r>
    </w:p>
    <w:p>
      <w:pPr>
        <w:pStyle w:val="Heading2"/>
      </w:pPr>
      <w:r>
        <w:t>Erwägungen</w:t>
      </w:r>
    </w:p>
    <w:p>
      <w:r>
        <w:rPr>
          <w:b/>
        </w:rPr>
        <w:t>E. 7</w:t>
      </w:r>
    </w:p>
    <w:p>
      <w:r>
        <w:t>Mit einem Eventualantrag verlangt der Beschwerdeführer, dass dem Entscheid über die Verfahrensabtretung nachträglich der sogenannte Fiskalvorbehalt beigefügt werde, nämlich ein Verbot, die aus den schweizerischen Akten erlangten Kenntnisse in Verfahren gegen Dritte wegen Verkürzung fiskalischer Abgaben oder Verletzung von Vorschriften über währungs-, handels- und wirtschaftspolitische Massnahmen zu verwenden. Das Bundesamt für Polizeiwesen (BAP) vertritt den Standpunkt, weder das internationale noch das interne schweizerische Recht böten eine Grundlage für eine Auflage der beantragten Art gegenüber dem schwedischen Staat. a) Für den Fall der Übertragung einer Strafverfolgung an das Ausland bestimmt Art. 89 Abs. 3 IRSG , der ausländische Staat, BGE 112 Ib 339 S. 340 an den der Verfolgte zuvor wegen anderer Taten ausgeliefert worden sei, brauche die Auslieferungsbedingungen nach Art. 38 IRSG nicht zu beachten, soweit er dem Ersuchen um Übernahme der Strafverfolgung entspreche. Von diesen Bedingungen fällt hier vor allem Art. 38 Abs. 1 lit. a IRSG in Betracht, der die Verfolgung des Ausgelieferten wegen einer vor der Auslieferung begangenen Handlung nicht zulässt, soweit für diese Handlung die Auslieferung nicht bewilligt worden ist. In der Botschaft des Bundesrates zum IRSG wird zu Art. 89 Abs. 3 ausgeführt, der zur Beachtung der Spezialität verpflichtete ersuchende Staat sei "insoweit von dieser Beschränkung in der Ausübung seiner Strafgewalt entbunden, als dies durch die Übertragung der Strafverfolgung an ihn erforderlich ist" (BBl 1976 II S. 469). Diese Lösung dürfte wohl auf dem Gedanken beruhen, dass die Schweiz nicht einen Spezialitätsvorbehalt anbringen könne in Fällen, in denen sie selbst die Initiative zur Abtretung eines Strafverfahrens an einen ausländischen Staat ergreift, also dann, wenn diese Form der Rechtshilfe im weiteren Sinne auch oder sogar vorwiegend im schweizerischen Interesse liegt. Der Wegfall des Spezialitätsgebotes bedeutet aber nicht, dass auch eine Verfolgung des Betroffenen oder Dritter wegen Fiskaldelikten und ähnlicher Tatbestände zulässig sei. Dass die Schweiz wegen Straftaten dieser Art - abgesehen vom Sonderfall des Abgabebetruges - keinerlei Rechtshilfe leistet, wird im ersten Teil des IRSG ("Allgemeine Bestimmungen") unter der Abschnittsüberschrift "Ausschluss von Ersuchen" gesagt. Der diesen generellen Ausschluss der Rechtshilfe umschreibende erste Satz von Art. 3 Abs. 3 IRSG bezieht sich somit auf das ganze Gesetz; nur die im zweiten Satz dieses Absatzes erwähnte Ausnahme hinsichtlich des Abgabebetruges gilt nur für den dritten Teil des Gesetzes, d.h. für die Rechtshilfe im engeren Sinne, während eine Auslieferung auch bei diesem Tatbestand nicht zulässig ist. Der Ausschluss jeder Rechtshilfe in Fiskalsachen muss somit zu den grundlegenden Bestimmungen des IRSG gerechnet werden. Dass dem so ist, folgt auch aus der parlamentarischen Beratung über die Genehmigung des Zusatzprotokolls Nr. 99 des Europarates, das in gewissem Umfange Rechtshilfe auch in Fiskalsachen zulässt. Die Genehmigung dieses Teiles des Zusatzprotokolls wurde sowohl vom Nationalrat als auch vom Ständerat entgegen den Anträgen des Bundesrates abgelehnt (Amtl.Bull. NR 1984 I S. 591 ff.; SR 1985 S. 500 ff.; vgl. auch das nicht veröffentlichte Urteil des Bundesgerichtes vom 27. November 1985 i.S. Firma I.). Es muss BGE 112 Ib 339 S. 341 somit sowohl nach der Gesetzessystematik wie auch nach der Bedeutung, welche die schweizerische gesetzgebende Behörde noch in neuester Zeit dem Ausschluss der Rechtshilfe in Fiskalsachen beigemessen hat, davon ausgegangen werden, die in Art. 89 Abs. 3 IRSG vorgesehene Befreiung des die Strafverfolgung übernehmenden Staates vom Vorbehalt der Spezialität umfasse nicht auch gleichzeitig eine Befreiung von dem für das ganze schweizerische Rechtshilferecht geltenden Ausschluss der Zulässigkeit der Rechtshilfe in Fiskal- und den in Art. 3 Abs. 3 IRSG aufgezählten verwandten Strafsachen. b) Das BAP macht geltend, die europäischen Abkommen über Auslieferung und Rechtshilfe, denen sowohl die Schweiz als auch Schweden beigetreten sind, enthielten keine Rechtsgrundlage, um gegenüber dem schwedischen Staat eine entsprechende Auflage zu erlassen. Dies trifft zwar in tatsächlicher Hinsicht zu, ist aber rechtlich nicht ausschlaggebend. Die beiden erwähnten Abkommen enthalten auch keine Verpflichtung eines der beiden Staaten zur Übertragung bzw. Übernahme von Strafverfolgungen, die an sich in den Zuständigkeitsbereich des anderen Staates fallen. Verhält es sich aber so, dass die Schweiz zur Übertragung der Strafverfolgung in einem Fall wie dem vorliegenden zwar berechtigt, nicht aber verpflichtet ist und dass für Schweden hinsichtlich der Übernahme dasselbe gilt, so können mit der Übertragung auch beliebige Auflagen verbunden werden, die der um Übernahme ersuchte Staat annehmen oder ablehnen kann. Unter Staaten, die dem Europäischen Auslieferungsübereinkommen (EAÜ) beigetreten sind, dürften gute Aussichten bestehen, dass eine entsprechende Auflage nicht abgelehnt wird, kommt doch die Übertragung einer Strafverfolgung im Ergebnis der Auslieferung nahe und ist die Auslieferung wegen Fiskaldelikten nach Art. 5 EAÜ nur aufgrund besonderer zweiseitiger Übereinkünfte zulässig. c) Auch das interne schweizerische Recht verbietet eine Auflage der genannten Art entgegen der Auffassung des BAP nicht. Dass das seinem Sinn und Zweck gemäss auszulegende IRSG sie sogar gebietet, ist bereits dargelegt worden. Das BAP beruft sich demgegenüber auf Art. 11 der Verordnung über internationale Rechtshilfe in Strafsachen vom 24. Februar 1982 (IRSV). Dieser kommt gegenüber dem Gesetz keine selbständige Bedeutung zu. Im übrigen verweist die genannte Bestimmung, welche sich auf den Inhalt schweizerischer Ersuchen an ausländische Staaten bezieht, in Abs. 1 auf die Art. 27-29 IRSG , die als sinngemäss anwendbar BGE 112 Ib 339 S. 342 erklärt werden. Abs. 2 enthält die Vorschrift, dass ein schweizerisches Ersuchen weder Ausführungen enthalten dürfe, die geeignet wären, die Lage von Personen im ersuchten Staat wegen ihrer politischen Anschauungen, wegen ihrer Zugehörigkeit zu einer bestimmten sozialen Gruppe oder aus Gründen der Rasse, Religion oder Volkszugehörigkeit zu erschweren, noch solche, die im ersuchten Staat zu Beanstandungen Anlass geben könnten. Es ist nicht ersichtlich, inwiefern diese Norm es verbieten sollte, einem schweizerischen Ersuchen eine Auflage oder Bedingung beizufügen. Wenn das BAP ausführt, Auflagen oder Bedingungen seien an dieser Stelle bewusst weggelassen worden, so kommt dies jedenfalls im Verordnungstext nicht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