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270 vom 1. Januar 1986</w:t>
      </w:r>
    </w:p>
    <w:p>
      <w:r>
        <w:t>Bundesgericht (BGE), 1986-01-01, DE</w:t>
      </w:r>
    </w:p>
    <w:p>
      <w:r>
        <w:rPr>
          <w:b/>
        </w:rPr>
        <w:t xml:space="preserve">Quelle: </w:t>
      </w:r>
      <w:r>
        <w:t>https://mcp.opencaselaw.ch/entscheid/bge_BGE_112_Ib_270</w:t>
      </w:r>
    </w:p>
    <w:p>
      <w:r>
        <w:t>FR: BGE BGE 112 Ib 270 du 1 janvier 1986</w:t>
      </w:r>
    </w:p>
    <w:p>
      <w:r>
        <w:t>IT: BGE BGE 112 Ib 270 del 1 gennaio 1986</w:t>
      </w:r>
    </w:p>
    <w:p>
      <w:pPr>
        <w:pStyle w:val="Heading2"/>
      </w:pPr>
      <w:r>
        <w:t>Regeste</w:t>
      </w:r>
    </w:p>
    <w:p>
      <w:r>
        <w:t>Regeste Art. 22/24 des Bundesgesetzes über die Raumplanung, RPG; Gärtnerei. Rechtsmittel gegen Entscheide aus dem Sach- und Grenzbereich der Art. 22 und 24 RPG (E. 1). Art. 22 RPG; Gärtnereibetriebe in der Landwirtschaftszone sind zonenkonform, wenn sie in gesamthafter Betrachtung überwiegend bodenabhängig produzieren (E. 3). Eine auf Blumen spezialisierte Gärtnerei, die ganzjährig Schnittblumen und Topfpflanzen anbieten möchte und dieses Ziel mit Freilandkulturen, zwei bodenabhängigen und vier bodenunabhängigen Glashäusern erreichen will, entspricht gesamthaft betrachtet gerade noch dem Nutzungszweck der Landwirtschaftszone (E. 4).</w:t>
      </w:r>
    </w:p>
    <w:p>
      <w:r>
        <w:t>Regeste Art. 22 et 24 de la loi fédérale sur l'aménagement du territoire, LAT; exploitation horticole. Moyens de droit à l'encontre d'une décision relevant des art. 22 et 24 LAT (consid. 1). Art. 22 LAT; conformité à la zone agricole d'exploitations horticoles dont la production est, dans son ensemble, essentiellement liée à l'utilisation du sol (consid. 3). Si on la considère dans son ensemble, une exploitation spécialisée dans la culture de fleurs, qui vise à offrir toute l'année des fleurs coupées et des plantes en pot et cela à l'aide de cultures en plein air, de deux serres mobiles et de quatre serres fixes, constitue un cas limite de ce qui peut être jugé conforme au but de la zone agricole (consid. 4).</w:t>
      </w:r>
    </w:p>
    <w:p>
      <w:r>
        <w:t>Regesto Art. 22 e 24 della legge federale sulla pianificazione del territorio, LPT; esercizio di un'azienda orticola. Rimedi di diritto contro una decisione concernente gli art. 22 e 24 LPT (consid. 1). Art. 22 LPT; conformità alla zona agricola di aziende orticole la cui produzione è, nel suo insieme, essenzialmente vincolata all'utilizzazione del suolo (consid. 3). Considerata globalmente, un'azienda specializzata nella floricultura, che intende offrire durante tutto l'anno fiori da taglio e piante da vaso, grazie a culture all'aperto, a due serre mobili e a quattro serre fisse, costituisce un caso limite di ciò che può essere ritenuto conforme allo scopo della zona agricola (consid. 4).</w:t>
      </w:r>
    </w:p>
    <w:p>
      <w:pPr>
        <w:pStyle w:val="Heading2"/>
      </w:pPr>
      <w:r>
        <w:t>Erwägungen</w:t>
      </w:r>
    </w:p>
    <w:p>
      <w:r>
        <w:rPr>
          <w:b/>
        </w:rPr>
        <w:t>E. 1</w:t>
      </w:r>
    </w:p>
    <w:p>
      <w:r>
        <w:t>a) Die Beschwerden richten sich gegen einen letztinstanzlichen kantonalen Entscheid aus dem Sach- und Grenzbereich der Art. 22 und 24 des Bundesgesetzes über die Raumplanung vom 22. Juni 1979 (RPG). Der Entscheid ist ausschliesslich in Anwendung von Art. 22 in Verbindung mit Art. 16 RPG sowie des einschlägigen kantonalen bzw. kommunalen Rechtes ergangen; das streitige Bauvorhaben ist, da die Zonenkonformität bejaht wurde, nicht (auch noch) nach Art. 24 RPG geprüft worden. Die Beschwerdeführer führen staatsrechtliche Beschwerde und Verwaltungsgerichtsbeschwerde. Mit der staatsrechtlichen Beschwerde machen sie geltend, der angefochtene Entscheid sei in willkürlicher Anwendung von Raumplanungsrecht des Bundes ( Art. 16 und 22 RPG ) und der Gemeinde (§ 5 Abs. 2 und § 9 des Zonenreglementes Landschaft der Gemeinde Allschwil vom 18. November 1981, ZR-LS) ergangen. Mit Verwaltungsgerichtsbeschwerde rügen sie, es sei zu Unrecht und in Verletzung von Art. 24 Abs. 1 lit. a und b RPG eine Baubewilligung ausserhalb der Bauzone erteilt und geschützt worden, ohne dass die Voraussetzungen für eine Ausnahmebewilligung vorlägen und ohne dass die Vorinstanz diese Frage überhaupt geprüft hätte; sie sind der Meinung, dass im Falle der Verneinung des landwirtschaftlichen BGE 112 Ib 270 S. 272 Charakters des angefochtenen Betriebes die Voraussetzungen für eine Ausnahmebewilligung gemäss Art. 24 RPG nicht gegeben seien. Die Beschwerdeführer rügen somit sinngemäss, es sei zu Unrecht Art. 24 RPG nicht angewendet und damit Bundesrecht verletzt worden. Diese Rüge kann mit Verwaltungsgerichtsbeschwerde erhoben werden ( Art. 34 Abs. 1 RPG ; BGE 110 Ib 12 E. 1; BGE 105 Ib 107 E. 1a). Mit der Verwaltungsgerichtsbeschwerde kann darüber hinaus eine mit der Verletzung von Bundesrecht zusammenhängende Verletzung verfassungsmässiger Rechte der Bürger geltend gemacht werden; die Verwaltungsgerichtsbeschwerde übernimmt insoweit die Funktionen der staatsrechtlichen Beschwerde. Ist aber die Verwaltungsgerichtsbeschwerde zulässig und erlaubt sie grundsätzlich die Überprüfung aller erhobenen Rügen, so bleibt für die staatsrechtliche Beschwerde kein Raum ( Art. 84 Abs. 2 OG ). Die Beschwerdeführer rügen im Rahmen der staatsrechtlichen Beschwerde nicht nur willkürliche Gesetzesanwendung; sie machen darüber hinaus eine Verletzung der Eigentumsgarantie geltend. Doch geben sie zur letztgenannten Rüge keinerlei Begründung. Die Beschwerde genügt insoweit den Anforderungen von Art. 90 Abs. 1 lit. b OG nicht, und es ist auf diese Rüge daher auch im Rahmen der sie mitumfassenden Verwaltungsgerichtsbeschwerde nicht einzutreten. b) Bei Bauvorhaben ausserhalb der Bauzonen ist nach der Rechtsprechung zunächst zu prüfen, ob das Vorhaben zonenkonform ist; erst wenn dies nicht zutrifft, stellt sich die Frage, ob es als Ausnahme gestützt auf Art. 24 RPG bewilligt werden kann ( BGE 109 Ib 125 ff.; BGE 108 Ib 132 E. 1a). Das Verwaltungsgericht ist mit Recht so vorgegangen. Nachdem es die Zonenkonformität des Bauvorhabens bejaht hatte, bestand für es kein Anlass, das Vorhaben auch noch unter Art. 24 RPG zu prüfen. Die dahin zielende Rüge der Beschwerdeführer geht offensichtlich fehl. Die Prüfung der Voraussetzungen von Art. 24 RPG ist nur und erst dann vorzunehmen, wenn die Zonenkonformität verneint wird. Ob dies zutrifft, ist vorliegend abzuklären. c) Die Beschwerdebefugnis der Beschwerdeführer beurteilt sich nach Art. 103 lit. a OG , wonach zur Verwaltungsgerichtsbeschwerde berechtigt ist, wer durch die angefochtene Entscheidung berührt ist und ein schutzwürdiges Interesse an deren Aufhebung oder Änderung hat. Die Beschwerdeführer begründen ihre Betroffenheit mit der Lage ihrer Wohnhäuser in unmittelbarer Nähe der BGE 112 Ib 270 S. 273 zu bebauenden Parzellen. Die von der Rechtsprechung vorausgesetzte besondere Berührtheit ( BGE 111 Ib 159 E. 1b) kann aufgrund der Nachbarschaft zum Bauprojekt bejaht werden, so dass die Legitimation der Beschwerdeführer gegeben ist. Im Rahmen der vorstehenden Erwägungen kann auf die Beschwerde eingetreten werden.</w:t>
      </w:r>
    </w:p>
    <w:p>
      <w:r>
        <w:rPr>
          <w:b/>
        </w:rPr>
        <w:t>E. 3</w:t>
      </w:r>
    </w:p>
    <w:p>
      <w:r>
        <w:t>Die Beschwerdeführer stellen die vom Verwaltungsgericht anerkannte Zonenkonformität des Bauvorhabens in Abrede und rügen damit vor allem eine Verletzung von Art. 22 Abs. 2 lit. a RPG , somit von Bundesrecht ( Art. 104 Abs. 1 lit. a OG ), von dessen richtiger Anwendung es abhängt, ob Art. 24 RPG auf das Bauvorhaben der privaten Beschwerdegegner zur Anwendung gelangt oder nicht. Zweck und Inhalt der wichtigsten Nutzungszonen, nämlich der Bau-, der Landwirtschafts- und der Schutzzonen, werden in den Art. 14 ff. RPG umschrieben. Diese Normen bestimmen zugleich den Rahmen, an den sich kantonale bzw. kommunale Nutzungsvorschriften zu halten haben. Art. 16 RPG umschreibt Zweck und Inhalt der Landwirtschaftszonen: Diese umfassen Land, das sich für die landwirtschaftliche Nutzung oder den Gartenbau eignet oder im Gesamtinteresse landwirtschaftlich genutzt werden soll (Abs. 1 lit. a und b). Bauten und Anlagen in diesen Gebieten müssen dem Zweck der Landwirtschaftszone entsprechen ( Art. 22 Abs. 2 lit. a RPG ).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(EJPD/BRP, Erläuterungen RPG, N 9 zu Art. 16 RPG ). Art. 16 RPG erwähnt ausdrücklich auch den Gartenbau. Das ist indessen nicht so zu verstehen, dass diesem neben der landwirtschaftlichen Nutzung eine selbständige, privilegierte Bedeutung zukäme. Gartenbau passt bloss dann in die Landwirtschaftszone, wenn zur Bewirtschaftung freien Landes eine hinreichend enge Beziehung besteht. Gemeint sind namentlich Freilandgärtnereien, welche Pflanzen in Treibhausanlagen vorziehen und später in offenes Land versetzen. Betriebe, die überwiegend mit künstlichem Klima unter ständigen, festen Abdeckungen arbeiten, entsprechen nicht dem Zweck der gewöhnlichen Landwirtschaftszone, sondern benötigen dort eine Ausnahmebewilligung gemäss Art. 24 RPG (EJPD/BRP, Erläuterungen RPG, N 10 zu Art. 16 RPG ). Das Bundesgericht hat aufgrund einer Prüfung der bisherigen Praxis BGE 112 Ib 270 S. 274 und Literatur diese Grundsätze als massgebend bestätigt (Urteil vom 26. Oktober 1983 in: ZBl 85/1984 S. 179 ff., insbes. E. 2). In Anwendung dieser Kriterien hat es die erforderliche enge Beziehung verneint im Falle einer Gemüsegärtnerei, in der nach dem Beweisergebnis stets der überwiegende Teil der bewirtschafteten Landfläche von beheizbaren Plastiktunnels überdeckt ist, die nach Bedarf versetzt werden (Urteil vom 18. September 1985 i.S. Tanner, E. 3). In der neuesten Literatur bringt LEO SCHÜRMANN mit Bezug auf Gewächs- und Treibhäuser sowie treibhausähnliche Plastikabdeckungen zum Ausdruck, man werde, solange das kantonale Recht die Landwirtschaftszone nicht nach der Nutzungsintensität abstufe, davon ausgehen müssen, dass Art. 16 RPG den Einsatz technischer Produktionsmittel (wie Heizung, Kunstklima, Berieselung usf.) nur als "saisondehnende" und im Betriebsganzen untergeordnete Hilfsmittel, aber nicht als konstituierende Merkmale der betrieblichen Produktionsweise dulde, denn die "Eignung" des Bodens verweise auf dessen eigene Fruchtbarkeit, nicht auf wirtschaftliche Faktoren (wie namentlich den günstigeren Bodenpreis ausserhalb der Bauzone) (2. Auflage, S. 169 E. 5b). Als sachgemässer Weg wäre in der Tat zu begrüssen, wenn die in Frage kommenden Gemeinden im Rahmen ihrer Nutzungsplanung auf die Besonderheiten der Gärtnereien Bedacht nehmen würden, sei dies in Form einer Unterteilung des Landwirtschaftsgebiets nach Massgabe der Nutzungsintensität, sei es durch Schaffung besonderer für Gärtnereibetriebe geeigneter Nutzungszonen im Sinne von Art. 18 Abs. 1 RPG . Fehlt indessen wie vorliegend eine besondere Nutzungszone bzw. ein entsprechender Zonenteil, so ist nach den heutigen Kriterien der bundesgerichtlichen Rechtsprechung zu entscheiden. Danach ist massgebend, ob der fragliche Gärtnereibetrieb in gesamthafter Betrachtung überwiegend bodenabhängig produziert. Ist dies der Fall, so besteht kein Anlass, die vom Gesetz geforderte Beziehungsnähe der betrieblichen Produktion zum Boden zu verneinen. Das kantonale Baugesetz vom 15. Juni 1967 (BauG) enthält in § 11 eine Umschreibung des Land- und Forstwirtschaftsgebietes. Nach § 11 Abs. 1 BauG soll das Land- und Forstwirtschaftsgebiet der land- und forstwirtschaftlichen Nutzung erhalten bleiben. In diesem Gebiet dürfen nur Bauten und Anschlüsse an das Werkleitungsnetz bewilligt werden, die land- und forstwirtschaftlichen BGE 112 Ib 270 S. 275 Betrieben dienen (§ 11 Abs. 2 BauG). Diese Regelung bringt gegenüber dem Bundesrecht für den vorliegenden Fall nichts Neues. Auch die Zweckumschreibung des Landschaftsschongebietes, die in § 4 Abs. 3 der Verordnung über den Regionalplan Landschaft enthalten ist, trägt gegenüber § 11 BauG keine wesentliche Präzisierung bei. Das kommunale Recht enthält zwar in § 5 Abs. 2 ZR-LS eine eigene Umschreibung der Rechtswirkungen des Land- und Forstwirtschaftsgebietes. Doch tun die Beschwerdeführer nicht dar, und es ist auch sonst nicht erkennbar, dass und inwiefern diese Bestimmung strengere Anforderungen an die Zonenkonformität in der Landwirtschaftszone stellen würde als das Bundesrecht und die auf ihm aufgebaute Rechtsprechung und Praxis.</w:t>
      </w:r>
    </w:p>
    <w:p>
      <w:r>
        <w:rPr>
          <w:b/>
        </w:rPr>
        <w:t>E. 4</w:t>
      </w:r>
    </w:p>
    <w:p>
      <w:r>
        <w:t>Eine Prüfung des streitigen Bauvorhabens unter den dargelegten Kriterien führt zu folgenden Überlegungen. Die Gärtnerei H. ist auf Blumen spezialisiert. Ihr Betriebsziel ist ein ganzjähriges Angebot an Schnittblumen und offensichtlich auch an Topfpflanzen. Diesem Ziel sollen sechs Glashäuser dienen. Die Häuser 4 und 5 sind vom Verwaltungsgericht als bodenabhängig anerkannt worden, da sie das Saatgut für die Verpflanzung in die Freilandgärtnerei vorbereiten sollen. In den übrigen Häusern (Rosenhaus und drei Kulturhäuser) verbleiben die Pflanzen vom Aussäen bzw. Anpflanzen hinweg unter Glas. Das Verwaltungsgericht erklärt, diese Kulturen müssten bei isolierter Betrachtung als bodenunabhängig bezeichnet werden. Es ist jedoch der Meinung, sie stellten für einen modernen Gärtnereibetrieb, der auf ein ganzjähriges Schnittblumenangebot angewiesen sei, eine notwendige Ergänzung zur Freilandkultur dar. Das Verwaltungsgericht hat sodann die gesamte Anbaufläche mit der Fläche verglichen, die von den bodenunabhängigen Glaskulturen beansprucht wird. Es ist gestützt auf das Gutachten Kneipp von einer gesamten Anbaufläche von rund 4400 m2 ausgegangen. Davon hat es die Fläche der bodenunabhängigen Kulturen mit 1254 m2 der verbleibenden Fläche der bodenabhängigen Kulturen (inklusive der Häuser 4 und 5) gegenübergestellt. Auf diese Weise hat es die bodenunabhängigen Glaskulturen mit 28,5% ermittelt. Es kommt zu dem Schluss, dass bei dieser Verhältniszahl von einem überwiegend bodenabhängigen Betrieb gesprochen werden könne. Die Beschwerdeführer rügen diese Überlegungen als bundesrechtswidrig, namentlich als Verletzung von Art. 16 RPG . Dabei stützen sie sich vor allem auf die Erläuterungen EJPD zu Art. 16 BGE 112 Ib 270 S. 276 RPG N 10 und auf die bereits erwähnten Gedanken von SCHÜRMANN (a.a.O. S. 169). Betrachtet man - wie das Verwaltungsgericht - das Flächenverhältnis bodenabhängiger und bodenunabhängiger Kulturen als entscheidend, so hält die Auffassung der Vorinstanz vor dem Bundesrecht stand. In Doktrin und Praxis wird indessen auch weiter geprüft, ob der Betrieb überwiegend mit künstlichem Klima und ständigen, festen Abdeckungen arbeitet. Vorliegend ist unbestritten, dass alle sechs Gewächshäuser - mit unterschiedlichen Temperaturen - beheizt werden sollen (vgl. die Angaben im Projektplan). Doch ist nicht dargetan, dass der Betrieb "überwiegend" mit künstlichem Klima arbeitet. Das Bundesamt für Raumplanung leitet denn auch aus diesem Aspekt keine Rechtswirkungen ab. SCHÜRMANN freilich liesse Heizung und Kunstklima in der Landwirtschaftszone nur als "saisondehnende", untergeordnete Hilfsmittel zu, nicht aber als konstituierende Merkmale der betrieblichen Produktionsweise. Bei dieser Betrachtungsweise müsste vorliegend die Zonenkonformität verneint werden, da Heizung und Kunstklima hier betriebswesentlich sind, indem sie gerade den Winter als Produktionszeit erhalten und die Fortführung des Betriebes auch in den Wintermonaten gewährleisten sollen. Es besteht jedoch aus der bundesrechtlichen Regelung heraus kein zwingender Anlass, die Anforderungen an Betriebe in der Landwirtschaftszone so hoch zu spannen und bei Betrieben der vorliegenden Art eine hinreichend enge Beziehung zwischen Bewirtschaftungsart und Boden zu verneinen. FRITZ KILCHENMANN, Die planungs-, bau- und gewässerschutzrechtliche Ordnung des übrigen Gebiets und der Landwirtschaftszone, Bern 1975, S. 138, scheint diese Ansicht zu teilen. Das Bundesamt für Raumplanung anderseits vertritt die Meinung, dass es sich hier um einen Gewerbebetrieb handle, der in eine Gewerbezone gehöre. Es ist nicht zu bestreiten, dass die geplante Anlage die wesentlichen Merkmale eines Gewerbebetriebes aufweist. Doch sind gemäss Art. 16 RPG die Gewerbebetriebe des Gartenbaus bei genügender Bodenbeziehung als dem Nutzungszweck der Landwirtschaftszone entsprechend anerkannt. Das hier streitige Projekt stellt freilich einen Grenzfall dar. Eine Verletzung von Bundesrecht liegt aber nicht vor.</w:t>
      </w:r>
    </w:p>
    <w:p>
      <w:r>
        <w:rPr>
          <w:b/>
        </w:rPr>
        <w:t>E. 5</w:t>
      </w:r>
    </w:p>
    <w:p>
      <w:r>
        <w:t>(Das Doppeleinfamilienhaus für die beiden hauptberuflich für den Gärtnereibetrieb tätigen Betriebsleiter steht in einer unmittelbaren funktionellen Beziehung zum Gärtnereibetrieb, weil dieser BGE 112 Ib 270 S. 277 zur Steuerung der Heizungsanlagen, der Lüftung, der Schattierung, der Bewässerung, der Luftbefeuchtung usw. elektronischer Geräte bedarf, die wegen ihrer Störanfälligkeit und des Ausmasses der finanziellen Konzequenzen einer Panne laufend überwacht werden müssen. Die Zonenkonformität der Wohnbaute wurde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