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112 Ib 137 vom 1. Januar 1986</w:t>
      </w:r>
    </w:p>
    <w:p>
      <w:r>
        <w:t>Bundesgericht (BGE), 1986-01-01, DE</w:t>
      </w:r>
    </w:p>
    <w:p>
      <w:r>
        <w:rPr>
          <w:b/>
        </w:rPr>
        <w:t xml:space="preserve">Quelle: </w:t>
      </w:r>
      <w:r>
        <w:t>https://mcp.opencaselaw.ch/entscheid/bge_BGE_112_Ib_137</w:t>
      </w:r>
    </w:p>
    <w:p>
      <w:r>
        <w:t>FR: BGE BGE 112 Ib 137 du 1 janvier 1986</w:t>
      </w:r>
    </w:p>
    <w:p>
      <w:r>
        <w:t>IT: BGE BGE 112 Ib 137 del 1 gennaio 1986</w:t>
      </w:r>
    </w:p>
    <w:p>
      <w:pPr>
        <w:pStyle w:val="Heading2"/>
      </w:pPr>
      <w:r>
        <w:t>Regeste</w:t>
      </w:r>
    </w:p>
    <w:p>
      <w:r>
        <w:t>Regeste Strafübernahmebegehren nach Art. 88/89 IRSG, Form der Abtretung. Aus dem Wortlaut von Art. 30 Abs. 2 in Verbindung mit Art. 25 Abs. 2 IRSG folgt zwingend, dass ein Begehren um Übernahme der Strafverfolgung durch einen ausländischen Staat mit einer Verfügung des Bundesamtes für Polizeiwesen einzuleiten ist, die mit Verwaltungsgerichtsbeschwerde an das Bundesgericht weitergezogen werden kann.</w:t>
      </w:r>
    </w:p>
    <w:p>
      <w:r>
        <w:t>Regeste Requête tendant au transfert de la poursuite pénale selon les art. 88/89 EIMP, forme du désaisissement. Il découle obligatoirement du texte de l'art. 30 al. 2 en relation avec l'art. 25 al. 2 EIMP qu'une requête tendant au transfert de la poursuite pénale à un Etat étranger doit être introduite par une décision de l'Office fédéral de la police pouvant faire l'objet d'un recours de droit administratif au Tribunal fédéral.</w:t>
      </w:r>
    </w:p>
    <w:p>
      <w:r>
        <w:t>Regesto Domanda di assunzione del perseguimento penale ai sensi degli art. 88/89 AIMP, forma della delega. Dal testo dell'art. 30 cpv. 2 in relazione con l'art. 25 cpv. 2 AIMP risulta che una domanda tendente all'assunzione del perseguimento penale da parte di uno Stato estero dev'essere introdotta mediante una decisione dell'Ufficio federale di polizia impugnabile con ricorso di diritto amministrativo al Tribunale federale.</w:t>
      </w:r>
    </w:p>
    <w:p>
      <w:pPr>
        <w:pStyle w:val="Heading2"/>
      </w:pPr>
      <w:r>
        <w:t>Erwägungen</w:t>
      </w:r>
    </w:p>
    <w:p>
      <w:r>
        <w:rPr>
          <w:b/>
        </w:rPr>
        <w:t>E. 2</w:t>
      </w:r>
    </w:p>
    <w:p>
      <w:r>
        <w:t>Der Beschwerdeführer leitet aus den Art. 22 und 25 IRSG ab, dass das BAP in Fällen der vorliegenden Art entweder selbst eine Verfügung zu treffen oder eine kantonale Stelle zum Erlass einer solchen anzuhalten habe. Das BAP hält diese Auffassung für unzutreffend. a) Die Übernahme der Strafverfolgung durch einen ausländischen Staat ist im einzelnen in den Art. 88 und 89 IRSG geregelt, und überdies beziehen sich die dem ersten Teil und damit den allgemeinen Bestimmungen des IRSG angehörenden Art. 25 Abs. 2 sowie Art. 30 Abs. 2 auf sie. In Art. 88 IRSG wird bestimmt, ein anderer Staat könne um Übernahme der Strafverfolgung wegen einer der schweizerischen Gerichtsbarkeit unterliegenden Tat ersucht werden, wenn seine Gesetzgebung deren Verfolgung und gerichtliche Ahndung zulasse und der Verfolgte BGE 112 Ib 137 S. 140 a. sich dort aufhalte und seine Auslieferung an die Schweiz unzweckmässig oder unzulässig sei, oder wenn er b. an den betreffenden Staat ausgeliefert werde und die Übertragung der Strafverfolgung eine bessere soziale Wiedereingliederung erwarten lasse. Art. 89 IRSG umschreibt die Wirkungen der Übertragung des Verfahrens; insbesondere wird bestimmt, dass bei Übernahme des Falles durch einen ausländischen Staat in der Schweiz keine weiteren Massnahmen gegen den Verfolgten ergriffen werden dürfen. Gemäss Art. 30 Abs. 2 IRSG ist für schweizerische Ersuchen um Übernahme der Strafverfolgung das BAP zuständig; es hat auf Antrag der kantonalen Behörde zu handeln. Art. 25 Abs. 2 IRSG schliesslich lautet unter dem Titel "Verwaltungsgerichtsbeschwerde" wie folgt: "Gegen ein schweizerisches Ersuchen an einen andern Staat ist die Beschwerde nur zulässig, wenn dieser um Übernahme der Strafverfolgung oder der Urteilsvollstreckung ersucht wird. In diesem Fall ist nur der Verfolgte beschwerdeberechtigt." b) Die Vernehmlassung des BAP zur Frage der Zuständigkeit zur Stellung von Strafübernahmebegehren an ausländische Staaten ist nicht eindeutig. Einerseits verweist es auf ein Merkblatt vom 19. September 1985, wonach Strafübernahmebegehren immer über das BAP gestellt werden müssen; es stützt sich dabei auf Art. 7 Ziff. 3 lit. b der Verordnung des Bundesrates über die Aufgaben der Departemente, Gruppen und Ämter vom 9. Mai 1979 (SR 172.010.15) . Anderseits weist es darauf hin, dass einzelne Kantone hinsichtlich der Strafübernahme an das Ausland selbständige Verfügungen treffen, die (mindestens) mit einem kantonalen Rechtsmittel anfechtbar sind (Graubünden, Zürich). Es ist somit nachfolgend darüber zu befinden, ob das BAP in Fällen dieser Art zum Erlass einer Verfügung verpflichtet sei. Nicht zu prüfen ist im vorliegenden Verfahren die Frage, ob auch die Kantone solche Verfügungen treffen könnten; denn es fehlt hier zum mindesten vorläufig an einem Anfechtungsgegenstand. Der Entscheid des Obergerichts des Kantons Nidwalden über die vom Beschwerdeführer zu dieser Frage eingereichte Beschwerde braucht nicht abgewartet zu werden. Wird nämlich das BAP als zum Erlass einer Verfügung verpflichtet erklärt, so ist die Streitfrage erledigt; wird es dies nicht, so steht dem Beschwerdeführer gegen den kantonalen Entscheid immer noch der Weg der Verwaltungsgerichtsbeschwerde an das Bundesgericht offen. BGE 112 Ib 137 S. 141</w:t>
      </w:r>
    </w:p>
    <w:p>
      <w:r>
        <w:rPr>
          <w:b/>
        </w:rPr>
        <w:t>E. 3</w:t>
      </w:r>
    </w:p>
    <w:p>
      <w:r>
        <w:t>a) Von den angeführten gesetzlichen Bestimmungen sind für die hier zu entscheidende Frage insbesondere die Art. 30 Abs. 2 und 25 Abs. 2 IRSG von Bedeutung. Nach ihrem Wortlaut steht eindeutig fest, dass für schweizerische Ersuchen um Übernahme der Strafverfolgung das BAP zuständig und dass gegen solche Ersuchen an einen andern Staat die Verwaltungsgerichtsbeschwerde zulässig ist, wozu einzig der Verfolgte legitimiert ist. An dieser klaren Regelung vermag die Verordnung über die Aufgaben der Departemente, Gruppen und Ämter, auf welche das BAP hinweist, nichts zu ändern. Dieser Erlass dient der Aufteilung der verschiedenen Bundesaufgaben auf die einzelnen Bundesstellen und begründet selber keine Kompetenzen. b) Art. 25 Abs. 2 IRSG , der den Weiterzug von "Ersuchen" betreffend die Abtretung von Strafverfahren an das Ausland mit Verwaltungsgerichtsbeschwerde an das Bundesgericht vorsieht (s. auch SCHULTZ, Das neue Schweizer Recht der internationalen Zusammenarbeit in Strafsachen, SJZ 77/1981, S. 95, und MARKEES, Internationale Rechtshilfe in Strafsachen, SJK Nr. 421a, S. 26), setzt notwendigerweise voraus, dass dieses "Ersuchen" zu einer Verfügung geführt hat; denn ohne Verfügung ist eine Verwaltungsgerichtsbeschwerde nicht denkbar. Demnach bleibt einzig zu entscheiden, ob damit notwendigerweise eine Verfügung des BAP gemeint sei oder ob es sich - wie dieses annimmt - auch um eine solche der zuständigen kantonalen Behörde handeln könne. Das BAP erklärt, mit Art. 25 Abs. 2 IRSG würden einzig die eventuell vorhandenen kantonalen Rechtsmittel gegen einen kantonalen Entscheid beschränkt; einerseits solle die Stellung eines Auslieferungsbegehrens an einen ausländischen Staat überhaupt nicht angefochten werden können, anderseits aber eine eventuell nach kantonalem Recht an sich mögliche Beschwerde gegen ein Übernahmeersuchen an einen ausländischen Staat nur vom Verfolgten, nicht aber z.B. von einem möglichen Geschädigten ergriffen werden können. Die vom BAP vertretene Auffassung erweckt Bedenken. Die These, es gehe nur um den Ausschluss eventuell vorhandener kantonaler Rechtsmittel in gewissen Fällen, findet im Wortlaut von Art. 25 IRSG keine Stütze. Hinzu kommt, dass Abs. 2 dieser Bestimmung Teil eines die Verwaltungsgerichtsbeschwerde an das Bundesgericht regelnden und entsprechend überschriebenen Gesetzesartikels bildet; er kann sich somit nicht nur auf kantonale Rechtsmittel beziehen. Es wäre auch kaum verständlich, wenn ein BGE 112 Ib 137 S. 142 vom Bundesrecht vorgesehenes Rechtsmittel nur ergriffen werden könnte, falls das kantonale Recht vorschreibt, dass Übernahmebegehren schon auf kantonaler Ebene in die Form einer Verfügung gekleidet werden müssen, nicht aber, wenn die kantonalen Behörden derartige Begehren in der einfachen Form eines Ersuchschreibens an das BAP richten können. Eine solche Ungleichheit des Rechtsschutzes auf einem sonst einheitlich geregelten Gebiet kann der Gesetzgeber nicht gewollt haben. Verhält es sich aber so und schreibt das Bundesrecht - was unbestritten ist - nicht vor, dass der Überweisung der Akten an das BAP eine anfechtbare kantonale Verfügung voranzugehen habe, so folgt aus dem Wortlaut von Art. 30 Abs. 2 und Art. 25 Abs. 2 IRSG zwingend, dass ein Begehren um Übernahme der Strafverfolgung durch einen ausländischen Staat mit einer Verfügung des BAP einzuleiten ist, die mit Verwaltungsgerichtsbeschwerde an das Bundesgericht weitergezogen werden kann.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