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353 vom 1. Januar 1986</w:t>
      </w:r>
    </w:p>
    <w:p>
      <w:r>
        <w:t>Bundesgericht (BGE), 1986-01-01, FR</w:t>
      </w:r>
    </w:p>
    <w:p>
      <w:r>
        <w:rPr>
          <w:b/>
        </w:rPr>
        <w:t xml:space="preserve">Quelle: </w:t>
      </w:r>
      <w:r>
        <w:t>https://mcp.opencaselaw.ch/entscheid/bge_BGE_112_Ia_353</w:t>
      </w:r>
    </w:p>
    <w:p>
      <w:r>
        <w:t>FR: BGE BGE 112 Ia 353 du 1 janvier 1986</w:t>
      </w:r>
    </w:p>
    <w:p>
      <w:r>
        <w:t>IT: BGE BGE 112 Ia 353 del 1 gennaio 1986</w:t>
      </w:r>
    </w:p>
    <w:p>
      <w:pPr>
        <w:pStyle w:val="Heading2"/>
      </w:pPr>
      <w:r>
        <w:t>Regeste</w:t>
      </w:r>
    </w:p>
    <w:p>
      <w:r>
        <w:t>Regeste Art. 38, 66 Abs. 1 OG. Die kantonale Instanz, deren Entscheid auf staatsrechtliche Beschwerde hin aufgehoben worden ist, muss sich an die Erwägungen des bundesgerichtlichen Urteils halten (Art. 38 OG, analoge Anwendung von Art. 66 Abs. 1 OG). Sie darf ihren neuen Entscheid nicht auf Erwägungen stützen, die das Bundesgericht ausdrücklich oder sinngemäss verworfen hat, wohl aber auf eine zusätzliche Erwägung, die in ihrem ersten Entscheid nicht erwähnt worden ist und zu der sich das Bundesgericht nicht geäussert hat (E. 3c, bb). Verletzt die kantonale Instanz, die im Laufe des Verfahrens ihre Auffassung ändert, den Grundsatz von Treu und Glauben? Im vorliegenden Fall verneint (E. 3c, cc).</w:t>
      </w:r>
    </w:p>
    <w:p>
      <w:r>
        <w:t>Regeste Art. 38, 66 al. 1 OJ. L'autorité cantonale dont la décision a été annulée sur recours de droit public doit s'en tenir aux motifs de l'arrêt du Tribunal fédéral (art. 38 OJ, art. 66 al. 1 OJ par analogie). Elle ne peut fonder sa nouvelle décision sur des motifs que le Tribunal fédéral a expressément ou implicitement rejetés, mais bien sur un motif supplémentaire non invoqué dans sa décision précédente et sur lequel le Tribunal fédéral ne s'est pas prononcé (consid. 3c, bb). L'autorité cantonale qui modifie son attitude en cours de procès viole-t-elle le principe de la bonne foi? Réponse négative en l'espèce (consid. 3c, cc).</w:t>
      </w:r>
    </w:p>
    <w:p>
      <w:r>
        <w:t>Regesto Art. 38, 66 cpv. 1 OG. L'autorità cantonale la cui decisione sia stata annullata su ricorso di diritto pubblico deve attenersi ai motivi della sentenza del Tribunale federale (art. 38 OG, applicazione analogica dell'art. 66 cpv. 1 OG). Essa non può fondare la sua nuova decisione su motivi espressamente o implicitamente disattesi dal Tribunale federale, ma può fondarla su di un motivo supplementare non invocato nella sua decisione precedente e sul quale il Tribunale federale non si è pronunciato (consid. 3c, bb). L'autorità cantonale che modifica la propria attitudine nel corso del processo viola il principio della buona fede? Ciò non è il caso nella fattispecie (consid. 3c, cc).</w:t>
      </w:r>
    </w:p>
    <w:p>
      <w:pPr>
        <w:pStyle w:val="Heading2"/>
      </w:pPr>
      <w:r>
        <w:t>Erwägungen</w:t>
      </w:r>
    </w:p>
    <w:p>
      <w:r>
        <w:rPr>
          <w:b/>
        </w:rPr>
        <w:t>E. 3</w:t>
      </w:r>
    </w:p>
    <w:p>
      <w:r>
        <w:t>a) Dans son nouvel arrêt du 23 mai 1986, la Cour de justice considère, contrairement à ce qu'elle avait admis implicitement dans son arrêt du 27 janvier 1984, que les nouvelles preuves proposées par le recourant en instance d'appel - dont la Cour avait alors examiné la valeur probante - sont irrecevables; elle procède néanmoins à un examen de la valeur probante de ces pièces pour s'en tenir à ce qui avait fait l'objet de l'arrêt rendu par le Tribunal fédéral le 6 juillet 1984. b) Dans son mémoire, le recourant ne prétend pas que la Cour de justice aurait violé le droit cantonal ou constitutionnel en considérant qu'en l'occurrence de nouvelles preuves étaient irrecevables en appel. En revanche, il reproche à la Cour d'avoir violé l'autorité de l'arrêt du Tribunal fédéral en se fondant, dans sa nouvelle décision, sur des motifs autres que ceux qui avaient fait l'objet de cet arrêt. c) aa) Faute de grief, le Tribunal fédéral ne peut examiner si la cour cantonale a appliqué arbitrairement le droit cantonal ( ATF 111 Ia 47 consid. 2, ATF 110 Ia 4 consid. 2a, ATF 109 Ia 226 , 120 consid. 3a et les arrêts cités). bb) L'autorité cantonale dont la décision a été annulée sur recours de droit public est tenue de s'en tenir aux motifs de l'arrêt de cassation rendu par le Tribunal fédéral ( art. 38 OJ , art. 66 al. 1 OJ par analogie; ATF 111 II 95 et les arrêts cités); elle ne saurait donc se fonder sur des motifs que le Tribunal fédéral a expressément ou implicitement rejetés. La nature du recours de droit public limite toutefois dans une certaine mesure l'autorité de l'arrêt fédéral. En effet, en règle BGE 112 Ia 353 S. 355 générale, le Tribunal fédéral ne procède qu'à un examen de la décision cantonale limité aux griefs formulés; son intervention est restreinte à la cassation, qui permet de mettre fin à la violation constitutionnelle dénoncée; son arrêt ne se substitue pas à la décision cantonale (cf. par exemple KÄLIN, Das Verfahren der staatsrechtlichen Beschwerde, p. 340; MARTI, Die staatsrechtliche Beschwerde, 4e éd., p. 166 s.; AUER, La juridiction constitutionnelle en Suisse, Nos 505 ss et les références citées par ces auteurs). D'autre part, le Tribunal fédéral n'intervient que si le dispositif cantonal viole la constitution, ce qui lui permet le cas échéant de substituer des motifs ne violant pas le droit constitutionnel à des motifs qui lui sont contraires, à moins que l'autorité cantonale ne les ait expressément écartés ( ATF 108 Ia 78 , ATF 106 Ia 315 et les arrêts cités); il en résulte logiquement que, si le Tribunal fédéral ne dispose pas des éléments le mettant à même de substituer des motifs, l'autorité cantonale ne saurait être privée de la même faculté, pour autant que les nouveaux motifs retenus n'aient pas été expressément ou implicitement écartés par le Tribunal fédéral. S'il n'en était pas ainsi, l'autorité cantonale pourrait être amenée, après cassation, à rendre des décisions contraires à la loi, ce qui ne correspond pas au but du recours de droit public pour violation des droits constitutionnels, qui tend uniquement à supprimer les états contraires à la constitution. Au cas particulier, la Cour de justice n'a dès lors pas violé l'autorité de l'arrêt fédéral en fondant son nouvel arrêt sur un motif supplémentaire non invoqué dans son arrêt précédent et au sujet duquel le Tribunal fédéral n'a pas eu l'occasion de se prononcer. cc) Incidemment, le recourant reproche à la Cour de justice d'avoir violé le principe de la loyauté des débats. On peut se demander si le grief de violation du principe de la bonne foi, ainsi articulé, est suffisamment motivé ( art. 90 al. 1 lettre b OJ ). La question peut demeurer indécise, car le grief n'est de toute façon pas fondé. Sans doute le principe invoqué régit-il également les rapports entre le juge et les plaideurs. D'autre part, il est patent que la cour cantonale a modifié son attitude en cours de procès. Mais on ne saurait reprocher à une autorité mieux informée de rendre une décision conforme à la loi, même si précédemment elle se fondait sur une motivation erronée ou incomplète. Le principe de la bonne foi ne permet au citoyen d'obtenir une décision contraire à la loi BGE 112 Ia 353 S. 356 que pour autant, notamment, qu'il ait été induit par l'autorité à adopter une attitude dommageable pour lui ( ATF 108 Ib 385 et les références citées). Or le recourant ne prétend pas que tel ait été le cas en l'occurrence. En particulier, il n'allègue pas avoir été privé d'un moyen légal d'introduire valablement en procédure les documents dont la production a été considérée comme irrecevable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