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233 vom 1. Januar 1986</w:t>
      </w:r>
    </w:p>
    <w:p>
      <w:r>
        <w:t>Bundesgericht (BGE), 1986-01-01, DE</w:t>
      </w:r>
    </w:p>
    <w:p>
      <w:r>
        <w:rPr>
          <w:b/>
        </w:rPr>
        <w:t xml:space="preserve">Quelle: </w:t>
      </w:r>
      <w:r>
        <w:t>https://mcp.opencaselaw.ch/entscheid/bge_BGE_112_Ia_233</w:t>
      </w:r>
    </w:p>
    <w:p>
      <w:r>
        <w:t>FR: BGE BGE 112 Ia 233 du 1 janvier 1986</w:t>
      </w:r>
    </w:p>
    <w:p>
      <w:r>
        <w:t>IT: BGE BGE 112 Ia 233 del 1 gennaio 1986</w:t>
      </w:r>
    </w:p>
    <w:p>
      <w:pPr>
        <w:pStyle w:val="Heading2"/>
      </w:pPr>
      <w:r>
        <w:t>Regeste</w:t>
      </w:r>
    </w:p>
    <w:p>
      <w:r>
        <w:t>Regeste Art. 85 lit. a OG. Kanton Basel-Stadt. Wahl von Strafgerichtspräsidenten. Stille Wahl. Das Wahlrecht der Bürger wird nicht verletzt, wenn bei Erneuerungswahlen von Strafgerichtspräsidenten die hiefür vorgeschlagenen Kandidaten als in stiller Wahl gewählt erklärt werden, weil ihre Zahl mit derjenigen der zu besetzenden Ämter übereinstimmt, und nur für die gleichzeitig angesetzten Ersatzwahlen infolge einer Überzahl von Kandidaten eine Urnenwahl angeordnet wird. Wichtig ist allerdings, dass in der amtlichen Wahlausschreibung auf die Möglichkeit der stillen Wahl, das Vorschlagsrecht der Stimmbürger und auf die weiteren Regeln über die Durchführung der Wahl in genügender Weise hingewiesen wird (E. 2).</w:t>
      </w:r>
    </w:p>
    <w:p>
      <w:r>
        <w:t>Regeste Art. 85 let. a OJ. Canton de Bâle-Ville. Election de présidents du Tribunal pénal. Election tacite. N'est pas contraire au droit de vote des citoyens le fait de proclamer tacitement élus, parce qu'en nombre égal à celui des postes disponibles, les candidats proposés pour l'élection périodique de présidents du Tribunal pénal et d'ordonner un scrutin, en raison du surnombre des candidats, uniquement pour l'élection complémentaire fixée à la même date. Il importe toutefois que l'avis de convocation des électeurs soit suffisamment explicite quant à l'éventualité d'une élection tacite, au droit des citoyens de proposer des candidats et aux autres règles régissant l'exécution de l'élection (consid. 2).</w:t>
      </w:r>
    </w:p>
    <w:p>
      <w:r>
        <w:t>Regesto Art. 85 lett. a OG. Cantone di Basilea Città. Elezione di presidenti del Tribunale penale. Elezione tacita. Non è contrario al diritto di voto dei cittadini proclamare eletti tacitamente, perché in numero pari a quello dei posti disponibili, i candidati proposti per l'elezione periodica di presidenti del Tribunale penale, e ordinare uno scrutinio, a causa del numero maggiore dei candidati, soltanto per un'elezione complementare fissata per la stessa data. Occorre tuttavia che l'avviso di convocazione degli elettori sia sufficientemente esplicito circa l'eventualità di un'elezione tacita, il diritto dei cittadini di proporre candidati e le altre norme concernenti l'attuazione dell'elezione (consid. 2).</w:t>
      </w:r>
    </w:p>
    <w:p>
      <w:pPr>
        <w:pStyle w:val="Heading2"/>
      </w:pPr>
      <w:r>
        <w:t>Erwägungen</w:t>
      </w:r>
    </w:p>
    <w:p>
      <w:r>
        <w:rPr>
          <w:b/>
        </w:rPr>
        <w:t>E. 2</w:t>
      </w:r>
    </w:p>
    <w:p>
      <w:r>
        <w:t>a) Bei Stimmrechtsbeschwerden prüft das Bundesgericht nicht nur die Auslegung von Bundesrecht und kantonalem Verfassungsrecht frei, sondern auch diejenige anderer kantonaler Vorschriften, die den Inhalt des Stimm- und Wahlrechts regeln oder mit diesem eng zusammenhängen. In ausgesprochenen Zweifelsfällen schliesst es sich der von den obersten kantonalen Organen vertretenen Auslegung an; als solche gelten das Parlament und das Volk ( BGE 111 Ia 117 /118 E. 2a; 194 E. 4a; 197 E. 2a; 202 E. 2, je mit Hinweisen). b) Nach Auffassung des Beschwerdeführers beeinträchtigt das angewandte Wahlverfahren das Wahlrecht und die Wahlfreiheit des Bürgers, indem für vier der zu vergebenden sechs Präsidentenämter keine Volkswahl, sondern eine stille Wahl stattgefunden habe, obwohl die Zahl der vorgeschlagenen Kandidaten höher gewesen sei als jene der zu besetzenden Ämter. Durch eine solche Teilung der Strafgerichtspräsidentenwahl in zwei Pakete werde dem Stimmbürger die Möglichkeit genommen, wiederkandidierende BGE 112 Ia 233 S. 236 bisherige Strafgerichtspräsidenten abzuwählen, indem er für einen der andern Kandidaten stimme; der Stimmbürger verliere auch die Möglichkeit, statt der vier vom Regierungsrat als in stiller Wahl gewählt erklärten neuen Präsidenten andere, für dasselbe Amt kandidierende Bewerber zu wählen; die Wahl aus sieben Bewerbern für sechs Präsidien werde auf eine Wahl aus drei Bewerbern für zwei Präsidien reduziert; den politischen Parteien werde ermöglicht, durch abgesprochene Plazierung in den richtigen Wahlkomplex einzelne Kandidaten zu bevorzugen, d.h. ihnen ein Präsidium ohne Wahlverfahren zuzuhalten, andere Kandidaten aber in ein echtes Wahlverfahren zu verweisen. c) Der Beschwerdeführer schildert die Auswirkungen des hier angewandten Wahlverfahrens an sich zutreffend. Die Frage ist, ob dieses Verfahren auf einer richtigen Auslegung der massgebenden Vorschriften beruht. Dass die in § 40 des basel-städtischen Wahlgesetzes vorgesehene Einrichtung der stillen Wahl, welche in gleicher oder ähnlicher Form auch in andern Kantonen und im Bund existiert (vgl. Z. GIACOMETTI, Das Staatsrecht der schweizerischen Kantone, Zürich 1941, S. 282; KASPAR LAELY, Die stille Wahl in der Demokratie, Diss. Bern 1951, S. 17-27), schon an sich gegen übergeordnetes kantonales oder eidgenössisches Recht verstosse, wird vom Beschwerdeführer nicht geltend gemacht; zu prüfen ist lediglich die Handhabung der angerufenen Vorschriften des kantonalen Wahlgesetzes und des kantonalen Gerichtsorganisationsgesetzes. d) Die hier in Frage stehenden Richterwahlen finden nach dem in §§ 32 ff. des Wahlgesetzes vorgesehenen Majorzverfahren statt. Danach können für die zu besetzenden Ämter innert bestimmter Frist Wahlvorschläge eingereicht werden, welche von mindestens zehn Stimmberechtigten unterzeichnet sein müssen, wobei ein Stimmberechtigter nur einen Wahlvorschlag unterzeichnen darf ( § 34 Abs. 1 und 2 WG ). Gleichzeitig mit dem Wahlvorschlag muss die schriftliche Zustimmung der vorgeschlagenen Kandidaten eingereicht werden ( § 34 Abs. 3 WG ). § 40 Abs. 1 WG bestimmt alsdann: "Ist bei Wahlen die Zahl der Vorgeschlagenen gleich gross wie die Zahl der zu Wählenden, so findet keine Wahlhandlung statt. Der Regierungsrat widerruft den angesetzten Wahlgang und erklärt die Vorgeschlagenen als gewählt." Sind diese Voraussetzungen einer stillen Wahl nicht erfüllt, so findet ein Urnengang statt, bei dem der Stimmbürger an die erfolgten, auf gedruckten Wahlzetteln erscheinenden Wahlvorschläge nicht gebunden ist, BGE 112 Ia 233 S. 237 sondern auf den mitverteilten leeren Wahlzetteln seine Stimme auch anderen wählbaren Kandidaten geben kann ( § § 32 und 38 WG ). Nötigenfalls findet ein zweiter Wahlgang statt, wobei neue Wahlvorschläge eingereicht werden können und wiederum die Möglichkeit der stillen Wahl besteht ( § 46 WG ). e) Nach Meinung des Beschwerdeführers hätten im vorliegenden Fall die sechs vakanten Stellen von Strafgerichtspräsidenten unter dem Gesichtswinkel der Regelung über die stille Wahl als eine einzige Ämtergruppe behandelt werden müssen, womit die Voraussetzungen einer stillen Wahl wegen der Überzahl von Wahlvorschlägen (sieben Kandidaten für sechs Ämter) nicht gegeben gewesen wären. Diese Betrachtungsweise wäre dann zulässig und richtig, wenn es lediglich auf die Funktion des zu vergebenden Amtes ankäme und nicht auch auf den Zeitraum, für den die Wahl erfolgen soll. In bezug auf dieses zeitliche Element waren die zu vergebenden Präsidentenämter nicht identisch. Bei vier Ämtern ging es um eine Wiederwahl für die volle Amtsdauer von sechs Jahren (1986-1991), während die beiden weiteren, durch vorzeitigen Rücktritt freigewordenen Ämter lediglich für den Rest der für sie noch laufenden Amtsdauer (1986-1988) zu besetzen waren. Diesen Unterschied verkennt auch der Beschwerdeführer nicht. Er nimmt jedoch an, der basel-städtische Gesetzgeber habe eine Gleichsetzung von Erneuerungswahlen und Ersatzwahlen gewollt, indem er in § 6 des Gerichtsorganisationsgesetzes für die Verteilung von Richterämtern mit ungleicher Amtsdauer auf gewählte Kandidaten ein besonderes Verfahren vorsehe. Unter der Überschrift "Ersatzwahl" bestimmt § 6 des GOG zunächst, dass bei Ausscheiden eines Richters vor Ablauf der Amtsdauer eine "Ersatzwahl" für den Rest seiner Amtsdauer stattzufinden hat (Abs. 1), wobei Ersatzwahlen für Gerichtspräsidenten und für Statthalter "ohne Verzug" und für ausscheidende Richter wenigstens einmal jährlich erfolgen müssen (Abs. 2). Abs. 4 lautet: "Sind gleichzeitig mehrere Stellen von Präsidenten oder Richtern zu ersetzen, deren Amtsdauer nicht zu gleicher Zeit abläuft, so wird in einer Plenarsitzung des Gerichts durch das Los bestimmt, welche Amtsdauer für jeden der Neugewählten gelte." Diese Bestimmung bezieht sich, worauf schon die erwähnte Überschrift des ganzen Paragraphen hindeutet, ausschliesslich auf Fälle von Ersatzwahlen. Der Einwand des Beschwerdeführers, letztlich sei jede Wahl eine Ersatzwahl, soweit es nicht um die Besetzung eines neugeschaffenen Amtes gehe, und die vom Regierungsrat im Verfahren BGE 112 Ia 233 S. 238 der stillen Wahl vergebenen vier Präsidialämter seien insofern Ersatzwahlen gewesen, als zwei der bisherigen Amtsinhaber nicht mehr kandidiert hätten, überzeugt nicht. Das Gerichtsorganisationsgesetz verwendet den Begriff der Ersatzwahl, wie aus der Umschreibung von § 6 Abs. 1 GOG hervorgeht, durchaus in einem technischen Sinn; es unterscheidet zwischen den allgemeinen, periodischen "Erneuerungswahlen" für eine ganze neue Amtsdauer (§ 2) und den "Ersatzwahlen" für den Rest der laufenden Amtsdauer bei vorzeitigem Austritt eines Gerichtsmitgliedes (§ 6 Abs. 1). Der Randtitel zu § 6 GOG sowie die ersten drei Absätze dieses Paragraphen, welche nur von der Ersatzwahl handeln, sprechen dafür, dass auch der anschliessende Abs. 4 lediglich den Fall der Kumulierung gleichzeitiger Ersatzwahlen für unterschiedlich lange Restperioden regeln will. Auch der Wortlaut von Abs. 4 stützt diese Annahme, indem von zu "ersetzenden" Stellen die Rede ist, deren "Amtsdauer nicht zur gleichen Zeit abläuft", was auf Ersatzwahlen hindeutet. Die dargelegte naheliegende Auslegung ergibt einen vernünftigen Sinn: Sind infolge vorzeitigen Rücktrittes von Richtern, die nicht alle der gleichen sechsjährigen Amtsperiode gemäss § 2 GOG zugehören (und deren Amtsdauer deshalb nicht zur gleichen Zeit abläuft), mehrere Ersatzwahlen vorzunehmen, so können die betreffenden Stellen für das Wahlverfahren als gleichwertig betrachtet und damit zu einer Gruppe zusammengefasst werden, was das Prozedere (insbesondere hinsichtlich der Wahlvorschläge durch die Parteien) vereinfacht; die Zuteilung der unterschiedlich langen Restperioden an die einzelnen Gewählten findet erst nach der Wahl auf dem Weg der Verlosung statt. Es wäre an sich denkbar, dieses Verfahren auch dann anzuwenden, wenn, wie im vorliegenden Fall, Ersatzwahlen und Erneuerungswahlen zeitlich zusammenfallen. Hierin läge allerdings eine Abweichung vom System der sechsjährigen Amtsdauer, wie es in § 2 GOG verankert ist. Zwar müssten nach Auffassung des Beschwerdeführers, da § 6 Abs. 4 GOG von einer Verlosung unter den "Neugewählten" spricht, nur die in einer Erneuerungswahl neu auftretenden Kandidaten und nicht auch die sich zur Wiederwahl stellenden bisherigen Richter dem Verfahren nach § 6 Abs. 4 GOG und damit dem Risiko der Zuteilung einer verkürzten Amtsdauer unterworfen werden. Selbst ein solches Vorgehen stünde jedoch im Widerspruch zu § 2 Abs. 1 Satz 1 GOG, wonach alle Richter, bisherige und neu einzusetzende, anlässlich der Erneuerungswahlen auf die Dauer von sechs Jahren gewählt werden. Das BGE 112 Ia 233 S. 239 vom Beschwerdeführer vorgeschlagene Vorgehen liefe auf eine Privilegierung bisheriger Amtsinhaber hinaus, die in § 2 GOG keine Grundlage findet. Der Beschwerdeführer kann schliesslich auch nicht behaupten, dass die von ihm postulierte Auslegung von § 6 Abs. 4 des Gerichtsorganisationsgesetzes einer bisherigen kantonalen Praxis entspreche. Es besteht damit für das Bundesgericht kein Grund, von der sich an Wortlaut und Systematik des Gesetzes anlehnenden Auslegung, wie sie der Regierungsrat und der Grosse Rat vertreten, abzuweichen. Eine solche Regelung führt zwar insoweit zu einer Einschränkung der Wahlfreiheit des Stimmbürgers, als sie das Zustandekommen stiller Wahlen, wie der vorliegende Fall zeigt, erleichtert. Jeder Stimmbürger hat es jedoch in der Hand, durch Einreichung eines eigenen, zu einer Überzahl von Kandidaten führenden Wahlvorschlages eine Volkswahl zu erzwingen, wenn er mit den von anderer Seite vorgeschlagenen Kandidaten nicht einverstanden ist oder weiteren Kandidaten eine Wahlchance verschaffen will; es ist dazu kein übermässiger Aufwand erforderlich (Sammlung von zehn Unterschriften, Einwilligung eines wählbaren Kandidaten). Wichtig ist, dass in der amtlichen Wahlausschreibung auf die Möglichkeit der stillen Wahl, das Vorschlagsrecht der Stimmbürger und auf die weiteren Regeln über die Durchführung der Wahl in genügender Weise hingewiesen wird (KASPAR LAELY, a.a.O., S. 29). Auch in dieser Hinsicht lässt sich das Vorgehen der basel-städtischen Behörden nicht beanstanden. Die im Kantonsblatt vom 5. Juni 1985 publizierte Wahlanordnung enthielt alle erforderlichen Angaben, und es war daraus ersehbar, dass die Ersatzwahlen für zwei Strafgerichtspräsidien zwar gleichzeitig mit den allgemeinen Erneuerungswahlen für die Gerichte, aber in einem gesonderten Verfahren durchgeführt wurden und mithin auch bezüglich der Wahlvorschläge und einer allfälligen stillen Wahl als gesonderter Vorgang zu behandeln waren. Dementsprechend haben alle politischen Parteien bei ihren Wahlvorschlägen für das Amt eines Strafgerichtspräsidenten zwischen den der Erneuerungswahl und den der Ersatzwahl unterliegenden Stellen differenziert. Es hätte am Beschwerdeführer gelegen, sich rechtzeitig über die geltenden Regeln ins Bild zu setzen, wenn er von den ihm als Stimmbürger in der Vorphase dieser Wahlen zustehenden Rechten Gebrauch machen wollte. Dass der Regierungsrat das im vorliegenden Fall durchgeführte Verfahren im nachhinein selber nicht für befriedigend hält, ändert an der Rechtmässigkeit der angefochtenen Wahlen nichts; der BGE 112 Ia 233 S. 240 Regierungsrat ist nicht der Meinung, dass die Erneuerungs- und Ersatzwahlen für die Strafgerichtspräsidien in der vom Beschwerdeführer verlangten Weise hätten vereinigt werden müssen, sondern er will in Zukunft in derartigen Fällen die Erneuerungs- und Ersatzwahlen auf verschiedene Termine festlegen, um für die Stimmbürger noch klarere Verhältnisse zu schaffen und um Kandidaten, welche bei den Erneuerungswahlen nicht gewählt werden, eine nochmalige Beteiligung an der später anzusetzenden Ersatzwahl zu ermöglichen (vgl. Antwort des Regierungsrates an den Grossen Rat auf die Interpellation Stark vom 24. September 1985). Auf die Einwände, welche der Beschwerdeführer gegen diese angekündigte neue Praxis erhebt, ist hier nicht einzutreten. Die Gegenstand des vorliegenden Verfahrens bildenden Wahlen wurden jedenfalls korrekt durchgeführt.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