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74</w:t>
      </w:r>
    </w:p>
    <w:p>
      <w:r>
        <w:t>Bundesgericht (BGE), 1986-01-01, DE</w:t>
      </w:r>
    </w:p>
    <w:p>
      <w:r>
        <w:rPr>
          <w:b/>
        </w:rPr>
        <w:t xml:space="preserve">Quelle: </w:t>
      </w:r>
      <w:r>
        <w:t>https://mcp.opencaselaw.ch/entscheid/bge_BGE_112_IV_74</w:t>
      </w:r>
    </w:p>
    <w:p>
      <w:r>
        <w:t>FR: ATF 112 IV 74</w:t>
      </w:r>
    </w:p>
    <w:p>
      <w:r>
        <w:t>IT: DTF 112 IV 74</w:t>
      </w:r>
    </w:p>
    <w:p>
      <w:pPr>
        <w:pStyle w:val="Heading2"/>
      </w:pPr>
      <w:r>
        <w:t>Regeste</w:t>
      </w:r>
    </w:p>
    <w:p>
      <w:r>
        <w:t>Regeste Art. 58bis StGB. Dem auf Art. 58bis StGB gestützten Begehren eines Entführten auf Aushändigung des Lösegelds bleibt der Erfolg versagt, wenn der Täter das Geld (Lire-Betrag) bei einer Bank gewechselt und im übrigen mit eigenem Geld vermengt hat (E. 3b). Es ist fraglich, ob dem Anspruch auf Aushändigung i.S. des Art. 58bis Abs. 1 StGB eine bereits rechtskräftig zu Gunsten des Kantons ausgesprochene Einziehung i.S. von Art. 58 StGB entgegensteht. Frage offengelassen (E. 3c).</w:t>
      </w:r>
    </w:p>
    <w:p>
      <w:r>
        <w:t>Regeste Art. 58bis CP. La requête, fondée sur l'art. 58bis CP et tendant au versement de la rançon à celui qui a été enlevé, est vouée à l'échec, lorsque l'auteur a changé à la banque le montant en question (versé en lires) et l'a mélangé à son propre argent (consid. 3b). On peut se demander si une confiscation déjà entrée en force au bénéfice du canton, au sens de l'art. 58 CP, fait obstacle à une demande de remise au sens de l'art. 58bis al. 1 CP. Cette question est demeurée indécise en l'espèce (consid. 3c).</w:t>
      </w:r>
    </w:p>
    <w:p>
      <w:r>
        <w:t>Regesto Art. 58bis CP. La domanda, fondata sull'art. 58bis CP e tendente al versamento del riscatto a chi è stato rapito, non può essere accolta ove l'agente abbia cambiato in banca la somma in questione (pagata in lire italiane) e l'abbia mescolata con il proprio denaro (consid. 3b). Ci si può chiedere se una confisca già passata in giudicato a favore del Cantone, ai sensi dell'art. 58 CP, sia d'ostacolo a una domanda di consegna ai sensi dell'art. 58bis cpv. 1 CP. Questione lasciata indecisa nella fattispecie (consid. 3c).</w:t>
      </w:r>
    </w:p>
    <w:p>
      <w:pPr>
        <w:pStyle w:val="Heading2"/>
      </w:pPr>
      <w:r>
        <w:t>Erwägungen</w:t>
      </w:r>
    </w:p>
    <w:p>
      <w:r>
        <w:rPr>
          <w:b/>
        </w:rPr>
        <w:t>E. 3</w:t>
      </w:r>
    </w:p>
    <w:p>
      <w:r>
        <w:t>Die Vorinstanz wies das Gesuch des Beschwerdeführers ab, weil nicht abschliessend habe festgestellt werden können, woher die bei F. und Frau R. beschlagnahmten Geldbeträge in verschiedenen Währungen stammten; insbesondere habe sich die Ausscheidung des von X. bezahlten Lösegeldes als unmöglich erwiesen, weil der Vater von X. sich geweigert habe, den grössten Teil der Seriennummern den Untersuchungsbehörden bekanntzugeben. Das Geschworenengericht habe unter den gegebenen Umständen nicht davon ausgehen müssen, dass die beschlagnahmten Gelder Eigentum des X. seien, zumal ein allfälliges Eigentumsrecht desselben am beschlagnahmten Geld jedenfalls durch Vermischung und Wechseln der Lire-Beträge untergegangen wäre. Selbst wenn also über die Herkunft des beschlagnahmten Geldes Klarheit bestanden hätte, wäre X. nicht als anspruchsberechtigter Eigentümer im Sinne von Art. 58bis StGB anzusehen. Nachdem überdies das Geschworenengericht und später das Obergericht zugunsten der Geschädigten (SECURA-Versicherungsgesellschaft und Migros-Bank) und des Staates rechtskräftig über das Geld verfügt hätten, fehle dem Gesuch des X. auch unter diesem Gesichtspunkt die gesetzliche Grundlage. Art. 58bis StGB spreche von "einzuziehenden" und nicht von bereits eingezogenen Werten. Das vorliegende Verfahren könne nicht dazu dienen, X. sein allfälliges früheres Recht wieder zu verschaffen. Das widerspräche Art. 58bis StGB und den in der Sache rechtskräftig ergangenen Entscheiden, in die das Gericht nicht eingreifen könne. b) Muss es bei der Feststellung der Vorinstanz sein Bewenden haben, dass F. und Frau R. das durch die Entführung des X. erlangte Lösegeld, soweit es sich um Lire-Beträge handelte, bei einer Bank gewechselt und im übrigen mit eigenem Geld vermengt haben, dann ist damit aber auch gesagt, dass der Beschwerdeführer an dem beschlagnahmten und von den Zürcher Gerichten eingezogenen Geldbetrag kein zivilrechtliches Eigentum besass, da dieses, sofern es einst bestanden haben sollte, durch jene Handlungen der Täter untergegangen war (s. BGE 101 IV 380 E. b; HAAB/SIMONIUS, Zürcher Kommentar, N. 84 ff. zu Art. 727 ZGB ). Da aber nach Art. 58bis Abs. 1 StGB die Aushändigung einzuziehender Gegenstände oder Vermögenswerte, die durch eine strafbare Handlung erlangt wurden, an Dritte nur möglich ist, wenn sie anspruchsberechtigte Eigentümer sind oder in Unkenntnis der BGE 112 IV 74 S. 77 strafbaren Handlung einen Anspruch auf Verschaffung von Eigentum erworben haben (s. den vorgenannten Bundesgerichtsentscheid sowie J. REHBERG, Strafrecht II, 3. Aufl. S. 86; SCHULTZ, Einführung in den allgemeinen Teil des Strafrechts II, 4. Aufl. S. 214 f.), kann sich der Beschwerdeführer nicht auf diese Bestimmung berufen; das Begehren um Aushändigung der Sache kommt nämlich einer rei vindicatio gleich, die nur dem dinglich Berechtigten zusteht ( Art. 641 Abs. 2 ZGB ). Darüber hilft auch der Hinweis auf BGE 108 IV 154 nicht hinweg. In dem damals behandelten Fall stand einzig zur Entscheidung, ob der Generalprokurator des Kantons Genf Richter im Sinne der Art. 58 ff. StGB sei. Dagegen hatte sich das Bundesgericht nicht darüber auszusprechen, ob die Voraussetzungen des Art. 58bis Abs. 1 StGB gegeben seien. c) Ob schliesslich die Auffassung des Obergerichts zutrifft, wonach dem Anspruch auf Aushändigung im Sinne des Art. 58bis Abs. 1 StGB eine bereits rechtskräftig ausgesprochene Einziehung entgegenstehe, dürfte höchst zweifelhaft sein. Wohl spricht diese Bestimmung von "einzuziehenden" Gegenständen und Vermögenswerten und hat damit den Fall im Auge, dass der an der Sache berechtigte Dritte im Zeitpunkt des Entscheides über die Einziehung bekannt ist. Indessen lässt Art. 58bis Abs. 3 StGB die Ansprüche Dritter "auf Grund dieses Artikels" ausdrücklich erst in fünf Jahren "seit der amtlichen Bekanntmachung der Einziehung" erlöschen. Eine solche Bekanntgabe kann aber nur einen Sinn haben, wenn dem Drittberechtigten die Möglichkeit offensteht, seinen Anspruch noch nach angeordneter Einziehung geltend zu machen. Auch wenn die Frage heute nicht endgültig entschieden werden muss, weil die Beschwerde aus den vorhergehenden Erwägungen (lit. b) abzuweisen ist, lässt doch das Gesagte die Meinung der Vorinstanz im letztgenannten Punkt als wenig überzeugend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