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66</w:t>
      </w:r>
    </w:p>
    <w:p>
      <w:r>
        <w:t>Bundesgericht (BGE), 1986-01-01, FR</w:t>
      </w:r>
    </w:p>
    <w:p>
      <w:r>
        <w:rPr>
          <w:b/>
        </w:rPr>
        <w:t xml:space="preserve">Quelle: </w:t>
      </w:r>
      <w:r>
        <w:t>https://mcp.opencaselaw.ch/entscheid/bge_BGE_112_IV_66</w:t>
      </w:r>
    </w:p>
    <w:p>
      <w:r>
        <w:t>FR: ATF 112 IV 66</w:t>
      </w:r>
    </w:p>
    <w:p>
      <w:r>
        <w:t>IT: DTF 112 IV 66</w:t>
      </w:r>
    </w:p>
    <w:p>
      <w:pPr>
        <w:pStyle w:val="Heading2"/>
      </w:pPr>
      <w:r>
        <w:t>Regeste</w:t>
      </w:r>
    </w:p>
    <w:p>
      <w:r>
        <w:t>Regeste Art. 22 Abs. 2 StGB; tätige Reue (versuchte vorsätzliche Tötung). Tätige Reue muss bejaht werden, wenn der Täter spontan eigene Massnahmen ergriffen hat, um den Eintritt des Todes zu verhindern, selbst wenn das Vorgehen des Täters wegen der Geringfügigkeit der zugefügten Verletzungen schliesslich zur Abwendung des Erfolges nichts beigetragen hat.</w:t>
      </w:r>
    </w:p>
    <w:p>
      <w:r>
        <w:t>Regeste Art. 22 al. 2 CP; repentir actif (crime manqué de meurtre). Le repentir actif doit être admis lorsque l'auteur a pris spontanément des mesures propres à empêcher la mort, même si celles-ci se révèlent finalement sans effet en raison du caractère peu grave des blessures infligées.</w:t>
      </w:r>
    </w:p>
    <w:p>
      <w:r>
        <w:t>Regesto Art. 22 cpv. 2 CP; pentimento attivo (mancato omicidio intenzionale). Il pentimento attivo può essere ammesso ove l'agente abbia preso spontaneamente misure idonee ad impedire la morte, anche se esse risultano finalmente senza effetto in ragione del carattere poco grave delle lesioni inflitte.</w:t>
      </w:r>
    </w:p>
    <w:p>
      <w:pPr>
        <w:pStyle w:val="Heading2"/>
      </w:pPr>
      <w:r>
        <w:t>Erwägungen</w:t>
      </w:r>
    </w:p>
    <w:p>
      <w:r>
        <w:rPr>
          <w:b/>
        </w:rPr>
        <w:t>E. 2</w:t>
      </w:r>
    </w:p>
    <w:p>
      <w:r>
        <w:t>a) L'art. 22 al. 2 CP prévoit la faculté d'atténuer librement la peine (art. 66 CP) à l'égard de celui qui, de son propre mouvement, aura empêché ou contribué à empêcher que le résultat ne se produise. La question de savoir si l'on doit interpréter les termes "empêcher que le résultat ne se produise" en se plaçant dans le for intérieur de l'auteur (interprétation subjective), ou de façon objective, trouve une réponse nuancée dans la doctrine. Certains auteurs préconisent un point de vue exclusivement objectif (LOGOZ/SANDOZ, p. 118 n. 3; HAFTER, Allg. Teil, 2e éd., Berne 1946, p. 211 n. 2). Pour O.A. GERMANN, au contraire, la disposition sur le repentir sincère a pour but d'inciter l'auteur à empêcher que le résultat de l'acte délicieux ne se produise; il s'ensuit, à ses yeux, que l'art. 22 al. 2 CP s'applique dans l'hypothèse où l'auteur agit dans ce sens, ignorant par exemple que l'atteinte au bien protégé ne pouvait pas se produire en raison de faits qui lui échappent (O.A. GERMANN, Das Verbrechen im neuen Strafrecht, Zurich 1942, p. 66 et 194 n. 3.2). BGE 112 IV 66 S. 68 WAIBLINGER (FJS 1200 p. 8 ch. 13, p. 10 ch. 14 et 15) expose que si l'on admet que l'art. 22 al. 2 CP s'applique au délinquant - ce dont on peut douter - même lorsque le résultat a été empêché en réalité exclusivement par des circonstances extérieures ou l'intervention de tiers, on devrait aussi faire bénéficier de cette disposition celui qui, sans savoir que le délit est manqué, met tout en oeuvre pour empêcher que le résultat ne se produise. G. STRATENWERTH (Schweiz. Strafrecht, Allg. Teil I, Berne 1982, p. 302 et 303 n. 77) relève que l'art. 22 al. 2 CP ne trouverait pas d'application lorsque les moyens déployés par l'auteur n'ont effectivement pas contribué à empêcher le résultat de se produire; selon cet auteur, il ne faut cependant pas donner trop d'importance aux aspects pragmatiques du repentir actif; en conclusion, il estime que les conditions de l'art. 22 al. 2 CP sont réunies lorsque l'auteur prend des mesures qui, selon son propre point de vue, représentent un repentir actif. D'après H. SCHULTZ (Einführung in den allgemeinen Teil des Strafrechts, vol. 1, 4e éd., Berne 1982, p. 275/6), dans la perspective d'un droit pénal fondé sur la faute, il serait logique de mettre au bénéfice du repentir actif l'auteur qui a manifesté l'abandon de sa volonté criminelle sans égard au fait que le résultat a été réellement empêché par lui. NOLL (NOLL/TRECHSEL, Schweiz. Strafrecht, Allg. Teil I, 2e éd., Zurich 1986, p. 163 lettre b) est favorable à une interprétation entièrement subjective. Dans le système du CP, le degré de réalisation de l'infraction se définit aussi en fonction de l'élément subjectif. Il convient dès lors d'adopter la même interprétation pour le repentir actif, traité sous le même chiffre comprenant les art. 21 à 23 CP. Cela se justifie également par le fait que le repentir sincère, prévu à l'art. 64 CP, permet l'atténuation de la peine (dans les limites de l'art. 65 CP) même lorsque l'infraction est consommée, le résultat dommageable s'étant réalisé, si bien que ni l'intervention de l'auteur ni celle d'un tiers ne peuvent le modifier; or cette même atténuation est prévue pour celui qui commet un délit manqué, c'est-à-dire pour l'auteur qui a poursuivi son activité répréhensible jusqu'au bout sans faire preuve ni de repentir actif ni de repentir sincère, mais qui n'a pas atteint le résultat; il est dès lors logique de permettre un traitement plus favorable pour l'auteur qui non seulement n'atteint pas le résultat primitivement voulu, mais encore marque l'abandon spontané de sa volonté criminelle en s'efforçant de contribuer à empêcher ce résultat; ainsi, dans un tel cas, la peine peut BGE 112 IV 66 S. 69 être atténuée librement (art. 66 par opposition à l'art. 65 CP) sans égard à l'efficacité - considérée objectivement - des mesures prises par l'auteur repentant pour empêcher le résultat; en d'autres termes, malgré le texte de l'art. 22 al. 2 CP qui semble exiger que les efforts en vue d'éviter le résultat aient été objectivement efficaces, il convient d'admettre le repentir actif même si l'absence de résultat est le fruit de faits extérieurs à l'action du délinquant désavouant sa volonté criminelle. Par ailleurs, la systématique de l'art. 22 CP correspond à celle de l'art. 21 CP. Enfin, une analogie est concevable entre le délit impossible, où l'absence de résultat n'est pas due à la volonté de l'auteur, et le cas du repentir actif sans effet, où le résultat n'est pas réalisé pour des motifs extérieurs à cette volonté; dans le premier cas, en se fondant sur la théorie subjective, le législateur a permis la punition du délinquant dont la volonté criminelle s'est révélée absolument inefficace (art. 23 CP prévoyant l'atténuation libre en application de l'art. 66 CP); de même faut-il prendre en considération la volonté de celui qui tend à empêcher le résultat aussi lorsque ce dernier est finalement évité pour d'autres raisons. b) En l'espèce, l'autorité cantonale n'a pas appliqué l'art. 22 al. 2 CP, considérant à tort que si les actes secourables de la recourante étaient certes louables, ils étaient cependant impropres à éviter le résultat, car les lésions subies n'étaient pas graves sur le plan médical. Ce raisonnement va à l'encontre de l'interprétation subjective décrite au considérant qui précède; en effet, il a été constaté en fait qu'après avoir blessé son mari, l'épouse l'a aidé à s'allonger sur un lit, s'est rendue chez une voisine pour appeler une ambulance pourvue du matériel de transfusion et a cherché le livret de service de la victime pour connaître son groupe sanguin. Il s'ensuit qu'agissant de son propre mouvement, elle a pris les mesures tendant à ses yeux à empêcher la mort de la victime. Ce résultat a été effectivement évité, si bien que les éléments du repentir actif sont réunis nonobstant le caractère peu dangereux de l'atteinte causée, ce que l'auteur ignorait. Ainsi, l'arrêt attaqué viole le droit fédéral dans la mesure où la cour cantonale a considéré que l'art. 22 al. 2 CP ne s'appliquait pas. La recourante a dès lors été privée d'une possibilité supplémentaire (à côté de l'art. 11 CP) de bénéficier de l'atténuation libre prévue à l'art. 66 CP. Il s'impose en conséquence de renvoyer la cause à l'autorité cantonale pour qu'elle fixe à nouveau la peine en tenant compte du repentir actif.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