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64</w:t>
      </w:r>
    </w:p>
    <w:p>
      <w:r>
        <w:t>Bundesgericht (BGE), 1986-01-01, DE</w:t>
      </w:r>
    </w:p>
    <w:p>
      <w:r>
        <w:rPr>
          <w:b/>
        </w:rPr>
        <w:t xml:space="preserve">Quelle: </w:t>
      </w:r>
      <w:r>
        <w:t>https://mcp.opencaselaw.ch/entscheid/bge_BGE_112_II_64</w:t>
      </w:r>
    </w:p>
    <w:p>
      <w:r>
        <w:t>FR: ATF 112 II 64</w:t>
      </w:r>
    </w:p>
    <w:p>
      <w:r>
        <w:t>IT: DTF 112 II 64</w:t>
      </w:r>
    </w:p>
    <w:p>
      <w:pPr>
        <w:pStyle w:val="Heading2"/>
      </w:pPr>
      <w:r>
        <w:t>Regeste</w:t>
      </w:r>
    </w:p>
    <w:p>
      <w:r>
        <w:t>Regeste Art. 40 HRegV. Eintragung von Personalangaben im Handelsregister. 1. Art. 5 HRegV und Art. 103 lit. b OG. Beschwerdelegitimation des Eidgenössischen Justiz- und Polizeidepartementes (E. 1). 2. Die Schreibweise des Vornamens, der gemäss Art. 40 HRegV auszuschreiben ist, muss dem Eintrag im Zivilstandsregister entsprechen (E. 2).</w:t>
      </w:r>
    </w:p>
    <w:p>
      <w:r>
        <w:t>Regeste Art. 40 ORC. Inscription d'indications personnelles au registre du commerce. 1. Art. 5 ORC et 103 lettre b OJ. Qualité pour recourir du Département fédéral de justice et police (consid. 1). 2. La façon d'écrire le prénom qui doit être indiqué selon l'art. 40 ORC doit correspondre à l'inscription au registre de l'état civil (consid. 2).</w:t>
      </w:r>
    </w:p>
    <w:p>
      <w:r>
        <w:t>Regesto Art. 40 ORC. Iscrizione d'indicazioni personali nel Registro di commercio. 1. Art. 5 ORC e art. 103 lett. b OG. Legittimazione ricorsuale del Dipartimento federale di giustizia e polizia (consid. 1). 2. Il nome da iscrivere conformemente all'art. 40 ORC deve corrispondere a quello iscritto nel registro di stato civile (consid. 2).</w:t>
      </w:r>
    </w:p>
    <w:p>
      <w:pPr>
        <w:pStyle w:val="Heading2"/>
      </w:pPr>
      <w:r>
        <w:t>Erwägungen</w:t>
      </w:r>
    </w:p>
    <w:p>
      <w:r>
        <w:rPr>
          <w:b/>
        </w:rPr>
        <w:t>E. 1</w:t>
      </w:r>
    </w:p>
    <w:p>
      <w:r>
        <w:t>Entscheide der kantonalen Aufsichtsbehörden über das Handelsregister können gestützt auf Art. 97 und 98 lit. g OG mit Verwaltungsgerichtsbeschwerde an das Bundesgericht weitergezogen werden ( Art. 5 HRegV ). Als Oberaufsichtsbehörde über das Handelsregister ist dazu gemäss Art. 103 lit. b OG auch das Eidgenössische Justiz- und Polizeidepartement berechtigt, dem solche Entscheide denn auch von Amtes wegen mitzuteilen sind ( Art. 3 Abs. 5 und Art. 4 HRegV ). Dagegen wird mit Recht von keiner Seite etwas eingewendet.</w:t>
      </w:r>
    </w:p>
    <w:p>
      <w:r>
        <w:rPr>
          <w:b/>
        </w:rPr>
        <w:t>E. 2</w:t>
      </w:r>
    </w:p>
    <w:p>
      <w:r>
        <w:t>Nach Art. 40 HRegV ist unter Vorbehalt der Vorschriften über die Firmenbildung bei allen Personen, die in irgendeiner Eigenschaft im Handelsregister zu erwähnen sind, neben dem Familiennamen mindestens ein ausgeschriebener Vorname, die Staatsangehörigkeit (bei Schweizerbürgern der Heimatort) und der Wohnort zu nennen. Der Vorbehalt ist hier nicht von Bedeutung, da es nicht um den Inhalt der Firma, sondern nur um die Angaben zur Person eines Verwaltungsrates geht; streitig ist, was als Vorname im Sinn von Art. 40 HRegV zu gelten hat. a) Das Departement ist der Auffassung, dass es sich dabei nur um den Vornamen laut Zivilstandsregister handeln kann, an dessen Schreibweise sich die Handelsregisterbehörden seit jeher hielten, wenn sie Personalangaben einzutragen hätten. Die streitige Norm sei schon in Art. 3 der Ergänzungsverordnung II über das Handelsregister vom 21. November 1916 (AS 32/1916 S. 485) enthalten gewesen und über Art. 2 der weiteren Verordnung vom 16. Dezember 1918 (AS 34/1918 S. 1226) ins geltende Recht eingegangen. BGE 112 II 64 S. 66 Durch Entscheide des Bundesrates (BURCKHARDT, Schweiz. Bundesrecht, Bd. III Nrn. 1426 ff.) sei zudem bereits früh klargestellt worden, dass die Schreibweise von Vor- und Familiennamen durch das Zivilstandsregister verbindlich festgelegt werde; in der Praxis der Registerbehörden hätten sich diesbezüglich denn auch keine Schwierigkeiten ergeben; die Grundbuchämter hielten sich ebenfalls an diese Schreibweise (A. GONVERS-SALLAZ, Le Registre Foncier Suisse, N. 3 zu Art. 31 GBV ). Der Beschwerdegegner bestreitet, dass sich die Handelsregisterbehörden seit jeher an die Schreibweise der Zivilstandsregister hielten; seine Umfrage habe viele Abweichungen ergeben. Die vom Departement behauptete Praxis würde voraussetzen, dass sich der Handelsregisterführer kraft Bundesrechts von dem im Zivilstandsregister eingetragenen Vornamen Kenntnis verschaffen müsste. Das sei nicht der Fall, da sich die kantonalen Handelsregisterämter jeweils auf die notarielle Beglaubigung verliessen, die vom kantonalen Recht geregelt werde. Das Departement müsste zudem diese Ämter anweisen, für Eintragungen neben der Beglaubigung auch einen Auszug aus dem Zivilstandsregister zu verlangen; dazu habe es bisher aber noch keine allgemeinen Weisungen gemäss Art. 4 Abs. 3 HRegV erlassen. Mangels einer bundesrechtlichen Norm oder Praxis zur entscheidenden Frage habe die Vorinstanz daher kein Bundesrecht verletzen können, wie ihr mit der Beschwerde sinngemäss vorgeworfen werden. Gerade das vorliegende Verfahren zeige, dass von einer festen Praxis keine Rede sein könne, da sein Vorname unbekümmert um die gleiche Aktenlage von den Handelsregisterämtern mehrerer Kantone verschieden eingetragen worden sei. b) Dem ist vorweg entgegenzuhalten, dass der Beschwerdegegner diese unterschiedlichen Eintragungen selber zu verantworten hat. Er verschweigt, dass der Luzerner Notar seine Personalien zwar wiederholt mit "Dr. Marc Ronca" in die Beglaubigung aufgenommen hat, weil er ihn "persönlich gekannt" und daher auf die Angaben des Kunden abgestellt hat, dass das Notariat Zürich Altstadt dagegen in einem Parallelfall, wie aus dem Entscheid der Vorinstanz vom 25. Februar 1985 erhellt, seine Personennamen gestützt auf eine Identitätskarte richtig mit "Markus Andreas Ronca" wiedergegeben hat. Es steht dem Beschwerdegegner daher nicht an, aus unterschiedlichen Eintragungen, die sich daraus in seinen oder in Fällen Dritter ergeben haben, etwas gegen die Registerführer oder gar gegen die Oberaufsichtsbehörde ableiten BGE 112 II 64 S. 67 zu wollen. Für die Richtigkeit der Personalangaben in der Beglaubigung sind die Notare, nicht die Handelsregisterämter verantwortlich. Denn bei Beglaubigungen von Unterschriften vorweg die Identität des Unterzeichners festzustellen, im Zweifel also dessen Personennamen anhand eines amtlichen Ausweises genau nachzuprüfen, ist Sache der Notare, auch im Kanton Luzern (§§ 25 und 42 des Beurkundungsgesetzes vom 18. September 1973). Die Auffassung des Departements ist auch sachlich gerechtfertigt. Sie beruht offensichtlich auf einem allgemeinen Interesse daran, dass die Schreibweise der im Zivilstandsregister eingetragenen Personennamen auch für andere öffentliche Register des Bundesrechts massgebend ist. Das vom Schweizerischen Verband der Zivilstandsbeamten herausgegebene Vornamensverzeichnis, auf welches das Departement verweist, dient dem gleichen Zweck. Es kann deshalb dem Einzelnen nicht freigestellt sein, seinen Vornamen gemäss Zivilstandsregister in Anmeldungen für das Handelsregister nach Belieben durch den Rufnamen zu ersetzen, soll Art. 40 HRegV seinem Sinn und Zweck entsprechend angewendet werden, der Eintrag wahr sein und zu keinen Täuschungen Anlass geben, wie Art. 38 HRegV das vom Registerinhalt allgemein verlangt. Wohin die gegenteilige Auffassung führen würde, zeigt gerade der vorliegende Fall, hat der Beschwerdegegner doch innerhalb eines Jahres - von den Anmeldungen in anderen Kantonen ganz abgesehen - dem Handelsregisteramt Nidwalden, wie er selber schreibt, "immer aufgrund derselben Aktenlage, für denselben Verwaltungsrat in derselben Gesellschaft" seine Personalien einmal mit "Markus Andreas Ronca" und einmal mit "Marc Ronca" angegeben. Dass Registerführer sich solchen Freiheiten widersetzen und auf dem Vornamen gemäss Zivilstandsregister bestehen, wenn sie Personennamen einzutragen haben, leuchtet ein; was gemäss Art. 944 ff. OR für die Schreibweise von Familiennamen gilt (His, N. 13 zu Art. 945 OR ), muss vernünftigerweise auch für Vornamen gemäss Art. 40 HRegV gelten. Das heisst nicht, "eine unnötig perfektionistische Ordnung" befürworten oder "bürokratischen Aufwand" treiben, wie der rechtskundige Beschwerdegegner dem Departement unterstellt, sondern unklaren oder irreführenden Angaben in öffentlichen Registern auf eine einfache Weise vorbeugen. c) Das ist auch der Vorinstanz entgegenzuhalten, die mit dem Beschwerdegegner der Meinung ist, durch den Eintrag des Vornamens "Marc" statt "Markus" werde Bundesrecht nicht verletzt. BGE 112 II 64 S. 68 Dass der Beschwerdegegner angeblich nirgends unter seinen Vornamen "Markus Andreas" aufzutreten pflegt, wie die Vorinstanz ihm zugute hält, berechtigte ihn nicht zu unterschiedlichen Angaben. Die Auffassung des Regierungsrates läuft in der Tat darauf hinaus, dass eine Urkundsperson die Echtheit einer Unterschrift unbekümmert darum, ob der Vorname des Unterzeichners mit dem Eintrag in einem amtlichen Ausweispapier (Pass oder Identitätskarte) übereinstimmt, beglaubigen dürfe und dass sich auch der Handelsregisterführer darüber hinwegsetzen könne. Das ist unhaltbar. Aus dem gleichen Grunde ist nicht einzusehen, warum der Begriff der Beglaubigung im Sinne von Art. 23 HRegV vom allgemein anerkannten abweichen sollte; die Vorinstanz übersieht, dass der Unterzeichner sich gemäss Abs. 1 dieser Bestimmung selbst bei mündlicher Anmeldung über seine Identität ausweisen muss und der Registerführer die Art der Legitimation "im Anschluss der Unterzeichnung" zu erwähnen hat. Die Auffassung des Departementes ist um so weniger zu beanstanden, als es gestützt auf Art. 20 Abs. 2 HRegV zulässt, dass ein Rufname, der von der Angabe des Zivilstandsregisters abweicht, dem Vornamen beigefügt wird, was vorliegend den Eintrag "Markus, genannt Marc, RONCA" ergäbe. Das Departement hält dem Beschwerdegegner zudem mit Recht entgegen, dass er nach Art. 30 ZGB eine Änderung seines Vornamens beantragen kann, wenn er im Verkehr mit dem Handelsregister ausschliesslich seinen Rufnamen "Marc" verwenden will. Inwiefern die Voraussetzungen für eine solche Änderung fehlen sollen, weil beide Vornamen auf den Evangelisten Markus zurückgingen, ist nicht einzusehen; der Beschwerdegegner übersieht, dass die Schreibweise des Zivilstandsregisters massgebend ist und der Vorname "Markus" deutschsprachig in vier Abwandlungen vorkommt.</w:t>
      </w:r>
    </w:p>
    <w:p>
      <w:r>
        <w:rPr>
          <w:b/>
        </w:rPr>
        <w:t>E. 3</w:t>
      </w:r>
    </w:p>
    <w:p>
      <w:r>
        <w:t>Der angefochtene Entscheid, der auf einer Verletzung von Art. 40 HRegV beruht, ist somit aufzuheben. Dass das Departement nicht mehr verlangt, schadet ihm nicht, da es dem Beschwerdegegner freisteht, sich für einen Eintrag mit oder ohne Beifügung seines Rufnamens "Marc" zu entscheiden.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