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510</w:t>
      </w:r>
    </w:p>
    <w:p>
      <w:r>
        <w:t>Bundesgericht (BGE), 1986-01-01, DE</w:t>
      </w:r>
    </w:p>
    <w:p>
      <w:r>
        <w:rPr>
          <w:b/>
        </w:rPr>
        <w:t xml:space="preserve">Quelle: </w:t>
      </w:r>
      <w:r>
        <w:t>https://mcp.opencaselaw.ch/entscheid/bge_BGE_112_II_510</w:t>
      </w:r>
    </w:p>
    <w:p>
      <w:r>
        <w:t>FR: ATF 112 II 510</w:t>
      </w:r>
    </w:p>
    <w:p>
      <w:r>
        <w:t>IT: DTF 112 II 510</w:t>
      </w:r>
    </w:p>
    <w:p>
      <w:pPr>
        <w:pStyle w:val="Heading2"/>
      </w:pPr>
      <w:r>
        <w:t>Regeste</w:t>
      </w:r>
    </w:p>
    <w:p>
      <w:r>
        <w:t>Regeste Art. 47 Abs. 3 OG. Zulässigkeit der Berufung. Beurteilt das obere kantonale Gericht eine Klage auf Erhöhung und eine Widerklage auf Herabsetzung des Mietzinses in zwei getrennten Urteilen, so sind diese für die Frage der Berufungsfähigkeit wie ein einheitliches Urteil zu behandeln (E. 1b).</w:t>
      </w:r>
    </w:p>
    <w:p>
      <w:r>
        <w:t>Regeste Art. 47 al. 3 OJ. Recevabilité du recours en réforme. Lorsque le tribunal suprême du canton statue séparément sur une demande principale tendant à l'augmentation du loyer et une demande reconventionnelle visant à la réduction de celui-ci, les deux jugements qu'il rend doivent être assimilés à une décision unique pour la question de la recevabilité du recours en réforme (consid. 1b).</w:t>
      </w:r>
    </w:p>
    <w:p>
      <w:r>
        <w:t>Regesto Art. 47 cpv. 3 OG. Ammissibilità del ricorso per riforma. Ove il tribunale supremo del cantone decida separatamente su di una domanda principale tendente all'aumento della pigione e su di una domanda riconvenzionale tendente alla sua riduzione, le due sentenze devono essere considerate, per quanto concerne l'ammissibilità del ricorso per riforma, come un'unica decisione (consid. 1b).</w:t>
      </w:r>
    </w:p>
    <w:p>
      <w:pPr>
        <w:pStyle w:val="Heading2"/>
      </w:pPr>
      <w:r>
        <w:t>Erwägungen</w:t>
      </w:r>
    </w:p>
    <w:p>
      <w:r>
        <w:rPr>
          <w:b/>
        </w:rPr>
        <w:t>E. 1</w:t>
      </w:r>
    </w:p>
    <w:p>
      <w:r>
        <w:t>b) Während der Zivilgerichtspräsident über Klage und Widerklage in einem einzigen Urteil entschieden hat, hat das Appellationsgericht formal zwei getrennte Entscheide erlassen. Mit Urteil I hat es die Beschwerde bezüglich der Widerklage und mit Urteil II jene bezüglich der Klage abgewiesen. Die Berufung der Beklagten richtet sich nur gegen das Urteil I. Es stellt sich somit die Frage, ob der Kläger dennoch mittels Anschlussberufung die durch Urteil II erfolgte Abweisung seiner Beschwerde anfechten kann. Das ist zu bejahen. Der enge Zusammenhang zwischen Klage und Widerklage ergibt sich bereits daraus, dass der Zivilgerichtspräsident nur ein einziges Urteil gefällt hat. Hätte das Appellationsgericht beide Beschwerden gutgeheissen und gemäss § 244 ZPO /BS selbst ein neues Urteil gesprochen, so hätte es den neuen Mietzins auch in einem einzigen Entscheid festlegen müssen. Schon dieser Umstand zeigt, dass materiell von einem einheitlichen Urteil auszugehen ist, das Klage und Widerklage abweist. Andernfalls hätte es der kantonale Richter in der Hand, durch die Behandlung der Streitsache entweder in einem oder in zwei Urteilen die Anschlussberufung oder sogar die selbständige Berufung zu ermöglichen oder zu verhindern. Dass in diesem Sinn die getrennt ergangenen Urteile zusammen als Endentscheid gemäss Art. 48 Abs. 1 OG behandelt werden, entspricht im übrigen auch der Rechtsprechung in bezug auf die Berufung gegen Teilurteile ( BGE 107 II 352 E. 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