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503</w:t>
      </w:r>
    </w:p>
    <w:p>
      <w:r>
        <w:t>Bundesgericht (BGE), 1986-01-01, DE</w:t>
      </w:r>
    </w:p>
    <w:p>
      <w:r>
        <w:rPr>
          <w:b/>
        </w:rPr>
        <w:t xml:space="preserve">Quelle: </w:t>
      </w:r>
      <w:r>
        <w:t>https://mcp.opencaselaw.ch/entscheid/bge_BGE_112_II_503</w:t>
      </w:r>
    </w:p>
    <w:p>
      <w:r>
        <w:t>FR: ATF 112 II 503</w:t>
      </w:r>
    </w:p>
    <w:p>
      <w:r>
        <w:t>IT: DTF 112 II 503</w:t>
      </w:r>
    </w:p>
    <w:p>
      <w:pPr>
        <w:pStyle w:val="Heading2"/>
      </w:pPr>
      <w:r>
        <w:t>Regeste</w:t>
      </w:r>
    </w:p>
    <w:p>
      <w:r>
        <w:t>Regeste Wissensvertretung bei Täuschung des Vertragspartners. Art. 28 Abs. 2 OR. Dem Vertretenen ist das Wissen des bösgläubigen Vertreters nicht zuzurechnen, wenn dieser wirtschaftlich identisch ist mit dem täuschenden Vertragspartner (E. 3).</w:t>
      </w:r>
    </w:p>
    <w:p>
      <w:r>
        <w:t>Regeste Opposabilité de ce que connaît le représentant d'un contractant en cas de dol de l'autre partie. Art. 28 al. 2 CO. La connaissance du représentant de mauvaise foi n'est pas opposable au représenté, lorsque le représentant et le cocontractant, auteur du dol, ne forment qu'une seule et même personne du point de vue économique (consid. 3).</w:t>
      </w:r>
    </w:p>
    <w:p>
      <w:r>
        <w:t>Regesto Opponibilità della conoscenza del rappresentante in caso di dolo dell'altra parte contraente. Art. 28 cpv. 2 CO. La conoscenza del rappresentante in mala fede non è opponibile al rappresentato ove il rappresentante e l'altra parte contraente, che ha agito con dolo, siano, sotto il profilo economico, una sola persona (consid. 3).</w:t>
      </w:r>
    </w:p>
    <w:p>
      <w:pPr>
        <w:pStyle w:val="Heading2"/>
      </w:pPr>
      <w:r>
        <w:t>Erwägungen</w:t>
      </w:r>
    </w:p>
    <w:p>
      <w:r>
        <w:rPr>
          <w:b/>
        </w:rPr>
        <w:t>E. 2</w:t>
      </w:r>
    </w:p>
    <w:p>
      <w:r>
        <w:t>Die Vorinstanz hat im wesentlichen erwogen, der Anleger M. sei Vertragspartner von C. und Begünstigter aus der Rückzahlungsverpflichtung von D. geworden. Auf Grund des Schuldversprechens der Beklagten stehe an sich den Anlegern ein vertragliches Forderungsrecht BGE 112 II 503 S. 505 gegen sie zu; der Anleger M. könne sich jedoch nicht darauf berufen, weil ihm das Wissen der bösgläubigen I. zuzurechnen sei. Mit der Berufung wird dies in Frage gestellt.</w:t>
      </w:r>
    </w:p>
    <w:p>
      <w:r>
        <w:rPr>
          <w:b/>
        </w:rPr>
        <w:t>E. 3</w:t>
      </w:r>
    </w:p>
    <w:p>
      <w:r>
        <w:t>Durch ihr öffentlich abgegebenes Schuldversprechen hat sich die Beklagte unbestrittenermassen verpflichtet, den Investoren ihr Anlagekapital zurückzuzahlen. Zu prüfen ist, ob ihre Verpflichtung unverbindlich ist, weil sie selbst durch absichtliche Täuschung zu ihrem Zahlungsversprechen veranlasst wurde. Dies würde voraussetzen, dass der Anleger M. zum Zeitpunkt der Zeichnung bösgläubig war ( Art. 28 Abs. 2 OR ). Da M. selbst gutgläubig war, ist entscheidend, ob ihm der böse Glaube der I. kraft Wissensvertretung zugerechnet werden kann. a) Dass M. bei der Zeichnung durch die I. vertreten wurde, ergibt sich schon daraus, dass er seine Identität lange nicht bekanntgeben wollte und nur die I. für ihn aufgetreten ist. Daran ändert nichts, dass die Beklagte ihr Versprechen durch ein Inserat direkt an die potentiellen Investoren gerichtet hat. b) Die Frage, ob der böse Glaube des Vertreters dem Vertretenen stets zuzurechnen ist oder ob, wie der Kläger geltend macht, insoweit, insbesondere wenn der Vertreter eine juristische Person ist, differenziert werden muss, etwa danach, dass nur auf das Wissen derjenigen Organperson abgestellt wird, die das konkrete Rechtsgeschäft vornimmt, kann offenbleiben. Denn die vorliegend zu beurteilende Konstellation zeichnet sich dadurch aus, dass der Vertreter des M., die I., zugleich wirtschaftlich identisch ist mit dem Vertragspartner, der C. Der Anlagevertrag wurde am 15. Oktober 1975 abgeschlossen. Bereits am 24. September 1975 hatte X. alle Aktien der I. erworben. Er war, wie die Vorinstanz feststellt, deren faktischer Verwaltungsrat. Zugleich war er der Initiant und Beherrscher des betrügerischen Timberlease-Projektes. Deshalb ist die I. durch die Person von X. als wirtschaftlich identisch anzusehen mit der C./D.-Gruppe, welcher die Anlagegelder zukommen sollten. Umgekehrt hat die Beklagte diese Gruppe, wenn auch ohne Kenntnis des von X. inszenierten Betruges, aber immerhin leichtfertig mit ihrer Erklärung unterstützt. Würde man in einer derartigen Situation dem Anleger M. das Wissen des Vertreters zurechnen, so käme man zum stossenden Ergebnis, dass man ihm auf dem Umweg über die Wissenszurechnung unterstellen würde, er habe in den ihm gegenüber begangenen Betrug eingewilligt. Dies zeigt, dass in einer derartigen Konstellation das Wissen des Vertreters dem Vertretenen nicht zugerechnet werden kann. BGE 112 II 503 S. 506 Für dieses Ergebnis sprechen im übrigen sowohl die aktienrechtliche Durchgriffstheorie wie auch das Verbot der Doppelvertretung. Auch wenn juristische Personen in der Regel eine von ihren Aktionären unabhängige Rechtspersönlichkeit haben, weicht man von diesem Prinzip ab, wenn es zu einem Treu und Glauben widersprechenden Resultat führt ( BGE 108 II 214 mit Hinweisen). Zwar ist diese Rechtsprechung vor allem im Zusammenhang mit Haftungsfragen entwickelt worden; sie beruht aber auf dem allgemeinen Grundgedanken, dass die Unterscheidung zwischen juristischer Person und dem hinter ihr stehenden, alles beherrschenden Aktionär in bestimmten Konstellationen eine juristische Fiktion darstellt, die den realen Gegebenheiten in keiner Weise entspricht. In diesem Sinne ist auch vorliegend für die Beurteilung der Frage, ob dem Anleger M. das Wissen der I. zugerechnet werden kann, zu berücksichtigen, dass die I. mit X. und dieser seinerseits mit der C./D.-Gruppe wirtschaftlich identisch war. Auch aus dem Verbot der Doppelvertretung ( BGE 106 Ib 148 mit Hinweisen) ergibt sich, dass in einer Konstellation wie der vorliegenden eine Wissenszurechnung nicht erfolgen kann. Denn verbietet man im Hinblick auf Interessenkollisionen eine Doppelvertretung, so geht es auch nicht an, das Wissen des die I. beherrschenden X., der sich das Geld des durch die I. vertretenen Anlegers M. betrügerisch verschaffen wollte, diesem zuzurechnen. c) Somit ergibt sich, dass die Vorinstanz zu Unrecht die Bösgläubigkeit des Anlegers M. angenommen hat. Ist dieser aber als gutgläubig anzusehen, bleibt das von der Beklagten abgegebene Schuldversprechen verbindlich.</w:t>
      </w:r>
    </w:p>
    <w:p>
      <w:r>
        <w:rPr>
          <w:b/>
        </w:rPr>
        <w:t>E. 4</w:t>
      </w:r>
    </w:p>
    <w:p>
      <w:r>
        <w:t>Dies führt zur Aufhebung des angefochtenen Urteils, ohne dass zu prüfen wäre, ob überdies die Haftung der Beklagten aus unerlaubter Handlung gegeben wäre. Immerhin ist anzumerken, dass der Anleger M. aus den gleichen Gründen nicht in eine unerlaubte Handlung des X. einwilligen konnte, an welcher die Beklagte möglicherweise mitgewirkt hat. Die Vorinstanz wird sich noch zur Frage der Gültigkeit der Zession an den Kläger zu äussern haben. Entgegen der Ansicht des Klägers handelt es sich dabei nicht um die Vervollständigung des Sachverhaltes in einem Nebenpunkt, welche das Bundesgericht auch selbst vornehmen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