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500</w:t>
      </w:r>
    </w:p>
    <w:p>
      <w:r>
        <w:t>Bundesgericht (BGE), 1986-01-01, FR</w:t>
      </w:r>
    </w:p>
    <w:p>
      <w:r>
        <w:rPr>
          <w:b/>
        </w:rPr>
        <w:t xml:space="preserve">Quelle: </w:t>
      </w:r>
      <w:r>
        <w:t>https://mcp.opencaselaw.ch/entscheid/bge_BGE_112_II_500</w:t>
      </w:r>
    </w:p>
    <w:p>
      <w:r>
        <w:t>FR: ATF 112 II 500</w:t>
      </w:r>
    </w:p>
    <w:p>
      <w:r>
        <w:t>IT: DTF 112 II 500</w:t>
      </w:r>
    </w:p>
    <w:p>
      <w:pPr>
        <w:pStyle w:val="Heading2"/>
      </w:pPr>
      <w:r>
        <w:t>Regeste</w:t>
      </w:r>
    </w:p>
    <w:p>
      <w:r>
        <w:t>Regeste Art. 6 OR. Stillschweigen nach Empfang eines Kontoauszugs oder einer Rechnung stellt kein Akzept gemäss Art. 6 OR dar. Insbesondere kann die Nichtbestreitung einer detaillierten Rechnung eines Unternehmers während einiger Monate nicht als stillschweigende Annahme dieser Rechnung betrachtet werden.</w:t>
      </w:r>
    </w:p>
    <w:p>
      <w:r>
        <w:t>Regeste Art. 6 CO. Le silence gardé à réception d'un relevé de compte ou d'une facture ne vaut pas acceptation selon l'art. 6 CO. En particulier, la non-contestation d'une facture détaillée d'entrepreneur, durant quelques mois, ne peut pas être considérée comme une acceptation tacite de cette facture.</w:t>
      </w:r>
    </w:p>
    <w:p>
      <w:r>
        <w:t>Regesto Art. 6 CO. Il silenzio osservato dopo aver ricevuto un estratto conto o una fattura non vale come accettazione secondo l'art. 6 CO. In particolare, il fatto di non contestare durante alcuni mesi una fattura dettagliata di un appaltatore non può essere considerato quale accettazione tacita di tale fattura.</w:t>
      </w:r>
    </w:p>
    <w:p>
      <w:pPr>
        <w:pStyle w:val="Heading2"/>
      </w:pPr>
      <w:r>
        <w:t>Erwägungen</w:t>
      </w:r>
    </w:p>
    <w:p>
      <w:r>
        <w:rPr>
          <w:b/>
        </w:rPr>
        <w:t>E. 3</w:t>
      </w:r>
    </w:p>
    <w:p>
      <w:r>
        <w:t>a) Le Tribunal cantonal n'a pas examiné le bien-fondé des déductions totalisant 2'122 fr. 85, opérées par la défenderesse dans son décompte du 3 mars 1980. Il considère en effet que la contestation de la défenderesse constitue un abus de droit, pour avoir été élevée quatre mois et demi seulement après réception du décompte du demandeur. Il se réfère à la jurisprudence du Tribunal fédéral en matière de contrat de travail, selon laquelle la partie qui entend invoquer des prétentions en dommages-intérêts connues, dans leur principe ou leur quotité, doit en faire part à son cocontractant avant d'accomplir les actes accompagnant la fin des relations de travail ( ATF 110 II 346 ), ainsi qu'aux arrêts admettant l'existence d'un délai de déchéance à propos des prétentions supplémentaires du travailleur en paiement de jours de congé, d'heures supplémentaires ou de frais de voyage ( ATF 101 II 289 , ATF 91 II 386 ; ATF 105 II 41 ss pour la situation postérieure à l'entrée en vigueur de l' art. 341 al. 1 CO ). Relevant que cette jurisprudence découle du principe général de la bonne foi, qui exige en cas de refus ou de désaccord une réaction du contractant à réception de l'avis de son partenaire touchant à BGE 112 II 500 S. 502 l'exécution d'une obligation, la cour cantonale juge que l'entrepreneur qui, au terme de l'exécution des travaux dont il a été chargé, remet une facture détaillée au maître de l'oeuvre peut attendre de celui-ci qu'il réagisse dans un délai relativement bref s'il entend formuler des objections ou contester certains postes du décompte établi. En l'espèce, il était abusif, de la part de la défenderesse, de remettre en cause aussi tardivement le décompte détaillé établi par le demandeur. b) On ne saurait suivre la cour cantonale lorsqu'elle considère que l'inaction de la défenderesse durant plus de quatre mois après réception de la facture détaillée du demandeur vaut ratification ou acceptation de cette facture et qu'une contestation de celle-ci serait contraire au principe de la bonne foi. On ne se trouve pas dans une situation comparable à celles qui sont à la base des arrêts cités par le jugement attaqué, soit dans un cas où on peut exiger, comme en matière de contrat de travail, en considération notamment des égards que se doivent réciproquement les parties à ce contrat, que certaines prétentions supplémentaires ou certaines contestations de décomptes soient formulées rapidement ou lors des règlements de comptes. La non-contestation, durant quelques mois, d'une facture détaillée d'entrepreneur ne peut pas être tenue pour une acceptation tacite de cette facture. Assimiler une facture à une lettre de confirmation entre commerçants, exigeant une réaction en cas de désaccord, procéderait d'une interprétation trop extensive de l' art. 6 CO ( ATF 88 II 89 consid. 3c). Il serait contraire à l'expérience générale de la vie de présumer que le destinataire d'une facture est disposé à en payer le montant. On ne saurait astreindre le destinataire de toute facture à protester immédiatement lors de sa réception, sous peine de se voir opposer ultérieurement son accord avec le paiement du prix demandé. En matière de contrat d'entreprise plus particulièrement, le maître qui entend s'opposer à une prétention dont l'entrepreneur doit établir le bien-fondé, comme en l'espèce, n'a pas de délai à respecter. Aussi longtemps qu'il n'a pas reconnu expressément ou tacitement la facture de l'entrepreneur, il peut en contester les bases de calcul, même en cours de procédure ( ATF 96 II 61 ). L' art. 6 CO n'est pas applicable en pareil cas; le silence gardé à réception d'un relevé de compte ou d'une facture inexacte ou mal fondée ne vaut donc pas acceptation (arrêt Breccolini c. Sarkos S.A., du 21 mai 1980, consid. 6a, publié in SJ 1981, p. 41). BGE 112 II 500 S. 503 c) A titre subsidiaire, la cour cantonale considère que "la défenderesse n'a même pas prouvé que le décompte du demandeur ne correspondait pas à la réalité". Cette considération méconnaît l' art. 8 CC . Selon cette disposition, c'est au demandeur qu'il appartient de prouver le bien-fondé de sa facture, soit la quotité et la valeur de ses prestations d'entrepreneur.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