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496</w:t>
      </w:r>
    </w:p>
    <w:p>
      <w:r>
        <w:t>Bundesgericht (BGE), 1986-01-01, IT</w:t>
      </w:r>
    </w:p>
    <w:p>
      <w:r>
        <w:rPr>
          <w:b/>
        </w:rPr>
        <w:t xml:space="preserve">Quelle: </w:t>
      </w:r>
      <w:r>
        <w:t>https://mcp.opencaselaw.ch/entscheid/bge_BGE_112_II_496</w:t>
      </w:r>
    </w:p>
    <w:p>
      <w:r>
        <w:t>FR: ATF 112 II 496</w:t>
      </w:r>
    </w:p>
    <w:p>
      <w:r>
        <w:t>IT: DTF 112 II 496</w:t>
      </w:r>
    </w:p>
    <w:p>
      <w:pPr>
        <w:pStyle w:val="Heading2"/>
      </w:pPr>
      <w:r>
        <w:t>Regeste</w:t>
      </w:r>
    </w:p>
    <w:p>
      <w:r>
        <w:t>Regeste Vorläufige Eintragung eines gesetzlichen Grundpfandrechtes; Art. 961 Abs. 3 ZGB und 76 Abs. 1 GBV. 1. Die vorläufige Eintragung ist nicht nichtig, wenn in der Vormerkung deren Dauer nicht festgehalten wird, sofern der Gesuchsteller seinen Anspruch innert der ihm angesetzten Frist geltend gemacht hat (E. 2). 2. Eine vorläufige Eintragung darf zufolge Ablaufs der Befristung von Amtes wegen nur gelöscht werden, wenn ihre Dauer aus dem Grundbuch hervorgeht (E. 3).</w:t>
      </w:r>
    </w:p>
    <w:p>
      <w:r>
        <w:t>Regeste Inscription provisoire d'une hypothèque légale; art. 961 al. 3 CC et 76 al. 1 ORF. 1. L'inscription provisoire n'est pas nulle si l'annotation omet d'en indiquer la durée, pour autant que le requérant ait fait valoir son droit en justice dans le délai qui lui a été imparti (consid. 2). 2. Une inscription provisoire ne peut être radiée d'office à l'échéance que si sa durée résulte du registre foncier (consid. 3).</w:t>
      </w:r>
    </w:p>
    <w:p>
      <w:r>
        <w:t>Regesto Iscrizione provvisoria di un'ipoteca legale; art. 961 cpv. 3 CC e 76 cpv. 1 RRF. 1. L'iscrizione provvisoria non è nulla se l'annotazione omette di indicarne la durata, qualora il richiedente abbia fatto valere in giudizio la pretesa nel termine assegnatogli (consid. 2). 2. Un'iscrizione provvisoria può essere cancellata d'ufficio alla scadenza soltanto se la durata risulta dal registro fondiario (consid. 3).</w:t>
      </w:r>
    </w:p>
    <w:p>
      <w:pPr>
        <w:pStyle w:val="Heading2"/>
      </w:pPr>
      <w:r>
        <w:t>Erwägungen</w:t>
      </w:r>
    </w:p>
    <w:p>
      <w:r>
        <w:rPr>
          <w:b/>
        </w:rPr>
        <w:t>E. 2</w:t>
      </w:r>
    </w:p>
    <w:p>
      <w:r>
        <w:t>Giorgio Chiesa e Interbaufin Holding S.A. sono condannati in solido a versare all'impresa Eros Chiesa S.A., Agno, l'importo di fr. 475'675,40 oltre interessi all'8% - dal 6.11.81 per fr. 431'643,50 - dalla data della petizione per fr. 44'051,80.</w:t>
      </w:r>
    </w:p>
    <w:p>
      <w:r>
        <w:rPr>
          <w:b/>
        </w:rPr>
        <w:t>E. 3</w:t>
      </w:r>
    </w:p>
    <w:p>
      <w:r>
        <w:t>Altra questione è sapere se colui che postula un'ipoteca legale degli artigiani ed imprenditori deve agire, oltre che per l'accertamento del credito, anche ed esplicitamente per l'iscrizione definitiva del pegno. Questa domanda, che merita una risposta del giudice, può rimanere indecisa nel presente ricorso. L' art. 76 cpv. 1 RRF prevede che l'annotazione di un'iscrizione provvisoria dev'essere cancellata d'ufficio, quando l'iscrizione definitiva corrispondente sia stata fatta o sia trascorso infruttuosamente il termine fissato dall'ufficiale o dal giudice per richiedere quest'ultima. Tale cancellazione interviene, secondo la giurisprudenza, soltanto se la durata dell'annotazione risulta dal registro fondiario stesso ( DTF 101 II 68 consid. 5), principio cui hanno rinviato a giusta ragione l'autorità cantonale e l'Ufficio federale di giustizia. Se invece il periodo di validità non emerge dal registro fondiario, decade BGE 112 II 496 S. 499 per l'ufficiale la possibilità di accertarne il decorso e di procedere a cancellare l'annotazione di sua iniziativa. Questa costatazione e il relativo provvedimento spettano unicamente al giudice nell'ambito di una procedura che tenda alla modifica del registro fondiario, così come in genere le iscrizioni già eseguite possono essere corrette solo su ordine di un tribunale ( DTF 98 Ia 186 ). A maggior ragione la competenza giudiziaria si impone nella fattispecie, dove si tratta di valutare l'omissione di una specifica richiesta per ottenere l'iscrizione definitiva dell'ipoteca legale e di decidere in questo contesto se l'attrice poteva attenersi al dispositivo del decreto 25 giugno 1982, che rimandava semplicemente ad un'azione per l'accertamento del credito.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