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226</w:t>
      </w:r>
    </w:p>
    <w:p>
      <w:r>
        <w:t>Bundesgericht (BGE), 1986-01-01, DE</w:t>
      </w:r>
    </w:p>
    <w:p>
      <w:r>
        <w:rPr>
          <w:b/>
        </w:rPr>
        <w:t xml:space="preserve">Quelle: </w:t>
      </w:r>
      <w:r>
        <w:t>https://mcp.opencaselaw.ch/entscheid/bge_BGE_112_II_226</w:t>
      </w:r>
    </w:p>
    <w:p>
      <w:r>
        <w:t>FR: ATF 112 II 226</w:t>
      </w:r>
    </w:p>
    <w:p>
      <w:r>
        <w:t>IT: DTF 112 II 226</w:t>
      </w:r>
    </w:p>
    <w:p>
      <w:pPr>
        <w:pStyle w:val="Heading2"/>
      </w:pPr>
      <w:r>
        <w:t>Regeste</w:t>
      </w:r>
    </w:p>
    <w:p>
      <w:r>
        <w:t>Regeste Genugtuungsanspruch des Ehegatten (Art. 47 und Art. 49 a.F. OR). Der Ehegatte, dessen Partner durch einen Unfall schwer invalid geworden ist, hat Anspruch auf Genugtuung, wenn er gleich schwer oder schwerer betroffen ist als im Falle der Tötung eines Angehörigen; sein Anspruch setzt kein schweres Verschulden des Schadensverursachers voraus.</w:t>
      </w:r>
    </w:p>
    <w:p>
      <w:r>
        <w:t>Regeste Droit du conjoint à une indemnité à titre de réparation morale (art. 47 CO et 49 CO ancien). L'époux, dont le conjoint est devenu gravement invalide à la suite d'un accident, a droit à une indemnité pour tort moral, lorsqu'il est touché de la même manière ou plus fortement qu'en cas de décès d'un proche; son droit ne suppose pas l'existence d'une faute grave de l'auteur du dommage.</w:t>
      </w:r>
    </w:p>
    <w:p>
      <w:r>
        <w:t>Regesto Diritto del coniuge a un'indennità a titolo di riparazione morale (art. 47 e 49 testo previgente CO). Colui, il cui coniuge sia divenuto gravemente invalido in seguito ad infortunio, ha diritto a un'indennità a titolo di riparazione morale ove sia leso in modo uguale o maggiore che nel caso di morte di un congiunto; tale suo diritto non presuppone l'esistenza di una colpa grave da parte di chi ha cagionato il danno.</w:t>
      </w:r>
    </w:p>
    <w:p>
      <w:pPr>
        <w:pStyle w:val="Heading2"/>
      </w:pPr>
      <w:r>
        <w:t>Erwägungen</w:t>
      </w:r>
    </w:p>
    <w:p>
      <w:r>
        <w:rPr>
          <w:b/>
        </w:rPr>
        <w:t>E. 3</w:t>
      </w:r>
    </w:p>
    <w:p>
      <w:r>
        <w:t>Weil die Anspruchsberechtigung der Klägerin dem Grundsatz nach zu bejahen ist, sind die weiteren Voraussetzungen von Art. 49 OR zu prüfen. Der Einwand der Beklagten, es fehle selbst bei Vorliegen der Aktivlegitimation an der nötigen Intensität der Verletzung, übersieht, dass sowohl das Zivilgericht als auch das Appellationsgericht den Prozess auf die Frage der Anspruchsberechtigung beschränkt haben, weshalb die übrigen Bedingungen von Art. 49 OR offengeblieben sind. So erschöpfen sich die Ausführungen über die Schwere der Verletzung in Andeutungen. Die Vorinstanz wird darüber umfassende Feststellungen zu treffen haben. a) Beim Entscheid, ob die Impotenz des Ehemannes die Klägerin in ihren Persönlichkeitsrechten besonders schwer verletzt hat, wird auch der vom Ministerkomitee mit Resolution 75-7 vom 19. März 1975 empfohlene Grundsatz Nr. 13 zu beachten sein (vgl. BGE 112 II 226 S. 228 dazu J.-F. EGLI in Mélanges André Grisel, S. 325 und 338). Im französischen Originaltext verlangt er die "présence de souffrances d'un caractère exceptionnel". Massgebend sind dabei alle Umstände wie das Alter der Ehegatten, die Bedeutung des Geschlechtslebens in der vorliegenden Ehe, die Art der Impotenz, das heisst, ob und inwieweit zur impotentia generandi noch die impotentia coeundi hinzukommt, sowie die Ausgeprägtheit des Wunsches nach weiteren Kindern. b) Im Gegensatz zu Art. 49 OR in der bis zum 30. Juni 1985 geltenden Fassung setzt Art. 47 OR kein besonders schweres Verschulden voraus. Die Tötung eines Menschen unter gravierenden Umständen auch objektiver Natur kann den Angehörigen derart treffen, dass sich eine Genugtuung ungeachtet des Verschuldens des Schädigers aufdrängt. Dieser Grundgedanke ist auch bei der Auslegung von Art. 49 OR heranzuziehen, obwohl der Fall altem Recht untersteht (Botschaft des Bundesrates über die Änderung des Schweizerischen Zivilgesetzbuches vom 5. Mai 1982, BBl 1982 II S. 683; BROGGINI, Schweizerisches Privatrecht, Bd. I, S. 460). Es wäre eine ungerechtfertigte Privilegierung von Angehörigen eines Getöteten gegenüber den Angehörigen eines Verletzten, die gleich oder schwerer betroffen sein können, wenn diesen die Genugtuung einzig deshalb versagt bliebe, weil es am besonders schweren Verschulden des Schädigers fehlt. Die Vorinstanz wird demnach entscheidend auf die Schwere der Persönlichkeitsverletzung bei der Klägerin abzustellen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