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16</w:t>
      </w:r>
    </w:p>
    <w:p>
      <w:r>
        <w:t>Bundesgericht (BGE), 1986-01-01, DE</w:t>
      </w:r>
    </w:p>
    <w:p>
      <w:r>
        <w:rPr>
          <w:b/>
        </w:rPr>
        <w:t xml:space="preserve">Quelle: </w:t>
      </w:r>
      <w:r>
        <w:t>https://mcp.opencaselaw.ch/entscheid/bge_BGE_112_II_16</w:t>
      </w:r>
    </w:p>
    <w:p>
      <w:r>
        <w:t>FR: ATF 112 II 16</w:t>
      </w:r>
    </w:p>
    <w:p>
      <w:r>
        <w:t>IT: DTF 112 II 16</w:t>
      </w:r>
    </w:p>
    <w:p>
      <w:pPr>
        <w:pStyle w:val="Heading2"/>
      </w:pPr>
      <w:r>
        <w:t>Regeste</w:t>
      </w:r>
    </w:p>
    <w:p>
      <w:r>
        <w:t>Regeste Art. 68 OG; Art. 315 Abs. 1, 315a Abs. 3, 367 und 405 ZGB. 1. Die Vormundschaftsbehörde ist zur Nichtigkeitsbeschwerde an das Bundesgericht nur legitimiert, wenn sie nach kantonalem Recht als antragstellende Partei und nicht als in erster Instanz verfügende Behörde aufgetreten ist (E. 1). 2. Der Vormund darf, auch wenn beiden Eltern durch das Scheidungsurteil die elterliche Gewalt entzogen wurde, sicher dann die Kinder einem der Elternteile zur Pflege und Erziehung auf Zusehen hin überlassen, wenn sich die Verhältnisse bei den Eltern nachträglich in einer Weise geändert haben, dass der Unterbringung beim Vater oder bei der Mutter in einem Zeitpunkt, wo sich die Frage der Obhut aus nicht in der Person der Eltern liegenden Gründen neu stellt, aus der Sicht des Kindeswohls keine schwerwiegenden Hindernisse entgegenstehen. Die Zustimmung des Scheidungsrichters ist nicht erforderlich (E. 5). 3. Im vorliegenden Fall wird durch die Unterbringung der Kinder bei der Mutter der Vater in seiner rechtlichen Stellung nicht unmittelbar betroffen (E. 6).</w:t>
      </w:r>
    </w:p>
    <w:p>
      <w:r>
        <w:t>Regeste Art. 68 OJ; art. 315 al. 1, 315a al. 3, 367 et 405 CC. 1. L'autorité tutélaire n'a qualité pour former un recours en nullité au Tribunal fédéral que si elle est intervenue comme partie selon le droit cantonal et non comme autorité de décision en première instance (consid. 1). 2. Même si le jugement de divorce a retiré l'autorité parentale aux père et mère, le tuteur peut confier l'enfant à l'un des parents pour son entretien et son éducation, à l'essai, lorsque les circonstances se sont modifiées postérieurement au divorce de manière telle que le placement auprès du père ou de la mère ne se heurte, du point de vue du bien de l'enfant, à aucun empêchement sérieux, et que la question de l'octroi du droit de garde se pose à nouveau, pour des motifs étrangers à la personne des père et mère. L'autorisation du juge du divorce n'est alors pas nécessaire (consid. 5). 3. En l'espèce, le placement de l'enfant auprès de la mère n'affecte pas directement la situation juridique du père (consid. 6).</w:t>
      </w:r>
    </w:p>
    <w:p>
      <w:r>
        <w:t>Regesto Art. 68 OG; art. 315 cpv. 1, 315a cpv. 3, 367 e 405 CC. 1. L'autorità tutoria è legittimata a proporre ricorso per nullità al Tribunale federale solo se è intervenuta come parte secondo il diritto cantonale e non come autorità decidente di prima istanza (consid. 1). 2. Anche se la sentenza di divorzio ha tolto ad ambedue i genitori l'autorità parentale, il tutore può affidare a titolo di prova le cure e l'educazione del figlio ad uno di essi, ove la situazione dei genitori si sia nel frattempo modificata in modo che, sotto il profilo del bene del figlio, nessun serio impedimento si opponga a che questi sia collocato presso il padre o presso la madre quando la questione della custodia debba essere regolata nuovamente per motivi estranei alla persona dei genitori. Non occorre all'uopo l'autorizzazione del giudice del divorzio (consid. 5). 3. Nella fattispecie il collocamento del figlio presso la madre non tocca direttamente la situazione giuridica del padre (consid. 6). Nach der Scheidung der Eheleute L. wurde diesen die elterliche Gewalt über ihre beiden 1977 und 1980 geborenen Söhne entzogen. Ein Amtsvormund übernahm die Vormundschaft über die Kinder gemäss Art. 368 ZGB.</w:t>
      </w:r>
    </w:p>
    <w:p>
      <w:pPr>
        <w:pStyle w:val="Heading2"/>
      </w:pPr>
      <w:r>
        <w:t>Erwägungen</w:t>
      </w:r>
    </w:p>
    <w:p>
      <w:r>
        <w:rPr>
          <w:b/>
        </w:rPr>
        <w:t>E. 1</w:t>
      </w:r>
    </w:p>
    <w:p>
      <w:r>
        <w:t>a) Die Beschwerdeführer rügen eine falsche Anwendung von Art. 315a Abs. 3 ZGB in dem Sinne, dass nicht diese Vorschrift anwendbar sei, welche die vormundschaftlichen Behörden zur Abänderung der vom Richter getroffenen Kindesschutzmassnahmen ermächtigt, sondern die Zuständigkeitsvorschriften des Vormundschaftsrechts, aufgrund deren der Vormund gehandelt habe. Damit wird eine Verletzung der Vorschriften des eidgenössischen Rechts über die sachliche Zuständigkeit der Behörden gerügt, wofür nach Massgabe von Art. 68 Abs. 1 lit. b OG die Nichtigkeitsbeschwerde zur Verfügung steht. Nicht beanstandet werden kann mit der Nichtigkeitsbeschwerde die Anwendung von Bundeszivilrecht, insofern mehr als die Zuständigkeitsfrage zum Gegenstand der Beschwerde gemacht wird. b) Der Regierungsrat des Kantons Bern spricht der Vormundschaftskommission der Stadt Bern die Legitimation im vorliegenden Verfahren ab; denn sie sei nicht als Partei, sondern als Rechtsmittelinstanz im kantonalen Verfahren in Erscheinung getreten. Vor dem Regierungsrat sei die Vormundschaftskommission nur durch die Kostenauflage berührt gewesen und habe in diesem Rahmen Parteirechte beanspruchen können. Vor Bundesgericht jedoch komme ihr keine Parteistellung zu. In der Tat hat die Vormundschaftskommission der Stadt Bern am 6. April 1984 über eine Beschwerde des Vaters L. entschieden, der sich damit gegen die Unterbringung seiner Söhne wandte. Die Vormundschaftskommission hat somit als Beschwerdeinstanz entschieden. In Übereinstimmung mit der Rechtsprechung ( BGE 109 Ib 79 , mit Hinweisen), welche die Legitimation zur Nichtigkeitsbeschwerde an das Bundesgericht nur bejaht, wenn die Vormundschaftsbehörde nach kantonalem Recht als antragstellende Partei und nicht als in erster Instanz verfügende Behörde aufgetreten ist, muss daher im vorliegenden Fall der Vormundschaftskommission der Stadt Bern die Legitimation versagt bleiben. Daran vermag der Umstand nichts zu ändern, dass der Frage der Parteistellung der Vormundschaftskommission im Verfahren vor dem Regierungsrat des Kantons Bern keine besondere Beachtung geschenkt worden BGE 112 II 16 S. 19 ist. Ebensowenig spielt es eine Rolle, dass ihr in jenem Verfahren Kosten auferlegt wurden; denn diese Kosten bilden nicht Gegenstand der Nichtigkeitsbeschwerde an das Bundesgericht. Auf die Nichtigkeitsbeschwerde ist demnach insoweit nicht einzutreten, als sie von der Vormundschaftskommission der Stadt Bern erhoben worden ist.</w:t>
      </w:r>
    </w:p>
    <w:p>
      <w:r>
        <w:rPr>
          <w:b/>
        </w:rPr>
        <w:t>E. 2</w:t>
      </w:r>
    </w:p>
    <w:p>
      <w:r>
        <w:t>Der Regierungsrat des Kantons Bern hat sich im angefochtenen Entscheid die Auffassung des Regierungsstatthalters von Bern zu eigen gemacht, dass - ungeachtet des nach wie vor gültigen Entzugs der elterlichen Gewalt - durch die Unterbringung der Knaben bei deren Mutter die Stellung des Vaters L. unmittelbar berührt werde. Werde aber der andere Elternteil unmittelbar berührt, so verbiete Art. 315a Abs. 3 ZGB einen Eingriff in die grundsätzliche Zuständigkeit des Zivilrichters dadurch, dass die vormundschaftlichen Behörden die von jenem getroffenen Kindesschutzmassnahmen ändern. Der Regierungsrat räumt zwar ein, dass die Unterbringung der Kinder bei der Mutter nicht schon als solche die Rechtsstellung des Vaters verändere; denn die Verantwortung für Pflege und Erziehung liege nach wie vor ausschliesslich beim Vormund, und das Besuchsrecht des Vaters bleibe ungeschmälert. Indessen sei nicht zu übersehen, dass wegen des gespannten Verhältnisses zwischen den Eltern dem Vater die Ausübung des Besuchsrechts faktisch erschwert werde von dem Augenblick an, wo die Knaben bei der Mutter untergebracht sind. Anderseits gewinne der Anspruch der Mutter auf persönlichen Verkehr, den der Scheidungsrichter festgelegt habe, durch den Plazierungsentscheid. Auch wirke sich die Unterbringung der Kinder bei der Mutter präjudizierend auf eine allfällige Abänderung des Scheidungsurteils aus. Neben der erheblichen tatsächlichen Veränderung, hat die Vorinstanz weiter ausgeführt, beeinflusse die Plazierung der Kinder bei der Mutter deren rechtliche Stellung hinsichtlich der Vertretungsbefugnis des Vormundes unmittelbar. Zwar könne nicht generell gesagt werden, die Unterbringung von Kindern, deren Eltern der Scheidungsrichter die elterliche Gewalt entzogen hat, bei einem Elternteil berühre die Stellung des anderen Elternteils. Im vorliegenden Fall aber habe der Regierungsstatthalter die faktische und rechtliche Stellung des Vaters als unmittelbar berührt betrachtet und mit sachlich vernünftigen Überlegungen seinen Entscheid begründet. Er habe die Beschwerde des Vaters gutgeheissen, ohne das Gesetz zu verletzen oder sein Ermessen zu missbrauchen. BGE 112 II 16 S. 20</w:t>
      </w:r>
    </w:p>
    <w:p>
      <w:r>
        <w:rPr>
          <w:b/>
        </w:rPr>
        <w:t>E. 3</w:t>
      </w:r>
    </w:p>
    <w:p>
      <w:r>
        <w:t>Die Beschwerdeführer wenden ein, mit dem angefochtenen Entscheid übersehe der Regierungsrat des Kantons Bern, dass nicht die vormundschaftliche Behörde die Unterbringung der Kinder bei ihrer Mutter angeordnet habe, sondern der Vormund. Damit werde in unzulässiger Weise ein Sachverhalt unter Art. 315a ZGB subsumiert, werde doch durch diese Bestimmung die Kompetenz des Richters auf der einen Seite und der vormundschaftlichen Behörden auf der anderen Seite zum Erlass von Kindesschutzmassnahmen abgegrenzt. Demgegenüber finde auf die Plazierung, die der Vormund hier angeordnet habe, Art. 405 ZGB Anwendung, welcher es dem Vormund zur Pflicht mache, für Unterhalt und Erziehung des unmündigen Bevormundeten das Angemessene anzuordnen. Unter Vorbehalt der Mitwirkung der vormundschaftlichen Behörden stünden dem Vormund zu diesem Zwecke die gleichen Rechte zu wie den Eltern. Doch selbst wenn Art. 315a ZGB auf den vorliegenden Fall grundsätzlich Anwendung finden sollte, bringen die Beschwerdeführer sodann vor, könne nicht von einer Abänderung der durch den Scheidungsrichter getroffenen Kindesschutzmassnahmen gesprochen werden, durch welche die Stellung des anderen Elternteils unmittelbar berührt werde.</w:t>
      </w:r>
    </w:p>
    <w:p>
      <w:r>
        <w:rPr>
          <w:b/>
        </w:rPr>
        <w:t>E. 4</w:t>
      </w:r>
    </w:p>
    <w:p>
      <w:r>
        <w:t>Die Vorbringen der Beschwerdeführer laufen somit im wesentlichen darauf hinaus, die Unterbringung der Knaben bei ihrer Mutter, welche der Vormund veranlasst hat, stelle keine Kindesschutzmassnahme im Sinne der Art. 307 ff. ZGB - mit der ausschliesslichen Kompetenz der Vormundschaftsbehörde zu ihrer Anordnung - dar. Daran ist soviel richtig, dass in der Unterbringung der Kinder der Vollzug einer vom Scheidungsrichter angeordneten Kindesschutzmassnahme - nämlich der Entziehung der elterlichen Gewalt und der dadurch notwendig gewordenen Bevormundung - zu erblicken ist. So gesehen, findet die Anordnung des Vormundes ihre Stütze nur mittelbar in Art. 315 Abs. 1 ZGB und unmittelbar in den Art. 367 und 405 ZGB . Die Unterbringung der Kinder bei einer dafür geeigneten Pflegefamilie wird an sich denn auch von keiner Seite als eine Kindesschutzmassnahme bezeichnet, durch welche die vom Richter getroffenen Kindesschutzmassnahmen (im Sinne von Art. 315a Abs. 3 ZGB ) abgeändert würden. Es geht somit nicht um einen Konflikt zwischen den vom Richter angeordneten Kindesschutzmassnahmen und diesen allenfalls widersprechenden Anordnungen der Vormundschaftsbehörde. Vielmehr spitzt sich die hier zu beurteilende Streitsache auf die BGE 112 II 16 S. 21 Frage zu, ob beim Vollzug der vom Richter getroffenen Kindesschutzmassnahmen gewisse Grenzen zu beachten seien. Eine solche Grenze sieht der Vater darin, dass ihm die Unterbringung der Knaben bei deren Mutter unzulässig erscheint angesichts der Tatsache, dass der Scheidungsrichter beiden Elternteilen die elterliche Gewalt über die Kinder entzogen hat. Sollte der Scheidungsrichter mit seiner Kindesschutzmassnahme solche Grenzen gesetzt haben und sollten diese vom Vormund mit Billigung der Vormundschaftsbehörde nicht beachtet worden sein, so mag sich allerdings die Frage stellen, ob die Anordnung des Vormundes im Ergebnis einer Abänderung der vom Scheidungsrichter getroffenen Kindesschutzmassnahme gleichkomme und daher von Art. 315a Abs. 3 ZGB erfasst werde.</w:t>
      </w:r>
    </w:p>
    <w:p>
      <w:r>
        <w:rPr>
          <w:b/>
        </w:rPr>
        <w:t>E. 5</w:t>
      </w:r>
    </w:p>
    <w:p>
      <w:r>
        <w:t>Der Vormund darf, auch wenn beiden Eltern durch das Scheidungsurteil die elterliche Gewalt entzogen wurde, die Kinder einem der Elternteile zur Pflege und Erziehung überlassen (Kommentar BÜHLER/SPÜHLER, N. 196 zu Art. 156 ZGB , mit weiteren Hinweisen). Das kann allerdings nicht absolut gelten, liegt doch ein gewisser Widerspruch darin, wenn mit dem Entzug der elterlichen Gewalt die Eltern als unfähig erklärt werden, die elterlichen Rechte und Pflichten gegenüber den Kindern richtig auszuüben, und in der Folge diese trotzdem bei einem Elternteil untergebracht werden (Kommentar HEGNAUER, N. 58 zu aArt. 285 ZGB). Eine solche Übertragung der Obhut kann deshalb gleichzeitig mit dem Entzug der elterlichen Gewalt grundsätzlich nur auf Zusehen hin erfolgen, und es ist dafür Sorge zu tragen, dass das Kindeswohl gewährleistet ist (HEGNAUER, a.a.O., N. 57 zu aArt. 285 ZGB). Indessen mag es vorkommen, dass sich die Verhältnisse bei den Eltern nachträglich in einer Weise geändert haben, dass der Unterbringung beim Vater oder bei der Mutter in einem Zeitpunkt, wo - wie hier - sich die Frage der Obhut aus nicht in der Person der Eltern liegenden Gründen neu stellt, aus der Sicht des Kindeswohls keine schwerwiegenden Hindernisse entgegenstehen. Diese Auffassung scheint auch der Regierungsrat des Kantons Bern zu teilen. Er ist jedoch der Meinung, die Übertragung der Obhut über die Kinder bedürfe in jedem Fall der Zustimmung des Scheidungsrichters, welcher den Entzug der elterlichen Gewalt und die Bevormundung angeordnet hat. Wie die Materialien zum revidierten Kindesrecht zeigen, hat aber der Gesetzgeber neben die Befugnisse des Scheidungsrichters in Art. 315a Abs. 3 ZGB auch jene der vormundschaftlichen Behörden gestellt, damit Veränderungen BGE 112 II 16 S. 22 der Verhältnisse ohne Komplikationen und vor allem ohne Zeitaufschub Rechnung getragen werden kann (BBl 1974 II, S. 86 f.). Dies soll nicht nur in dem vom Gesetzgeber insbesondere ins Auge gefassten Fall möglich sein, wo zum Schutze des Kindes sofort (stärkere) vorsorgliche Massnahmen zu ergreifen sind, sondern auch in einem Fall wie dem vorliegenden, wo die Änderung der Verhältnisse bei einem Elternteil es rechtfertigen mag, die vom Scheidungsrichter getroffene Kindesschutzmassnahme zu lockern. Solche Anpassung an die veränderten Verhältnisse steht nur unter dem Vorbehalt - wie Art. 315a Abs. 3 ZGB unmissverständlich festhält -, dass dadurch die Stellung des anderen Elternteils nicht unmittelbar berührt wird.</w:t>
      </w:r>
    </w:p>
    <w:p>
      <w:r>
        <w:rPr>
          <w:b/>
        </w:rPr>
        <w:t>E. 6</w:t>
      </w:r>
    </w:p>
    <w:p>
      <w:r>
        <w:t>Nach der Ansicht der Vorinstanz ist nicht daran zu zweifeln, dass die Übertragung der Obhut auf die Mutter der Kinder die Stellung des Vaters unmittelbar berührt. Immerhin räumt der Regierungsrat ein, dass die unmittelbare Betroffenheit des anderen Elternteils nicht in jedem Fall, wo Kinder beim einen Elternteil untergebracht werden, bejaht werden könne; vielmehr sei im Einzelfall zu prüfen, welche faktischen und rechtlichen Wirkungen die Übertragung der Obhut zeitige. Der Regierungsrat des Kantons Bern verkennt indessen die Bedeutung von Art. 315a Abs. 3 ZGB , wenn er die Stellung des anderen Elternteils schon deshalb als unmittelbar berührt betrachtet, weil das Besuchsrecht des Vaters gegenüber der geschiedenen Frau möglicherweise nicht mehr so reibungslos ausgeübt werden kann wie gegenüber Dritten, bei denen die Kinder untergebracht sind. Viel weniger noch lässt sich die Behauptung, der andere Elternteil sei unmittelbar berührt, mit dem Vorbringen aufstellen, die Tatsache der mütterlichen Obhut wirke sich präjudizierend auf ein späteres Abänderungsurteil aus. Der Gesetzgeber spricht ausdrücklich von unmittelbaren Auswirkungen auf die Stellung des anderen Elternteils. Das träfe gewiss zu, wenn - unter Ausschluss des anderen Elternteils - die elterliche Gewalt des einen Elternteils wiederhergestellt oder wenn das Besuchsrecht geändert würde (vgl. die Beispiele unmittelbarer Betroffenheit im Kommentar BÜHLER/SPÜHLER, N. 29 zu Art. 157 ZGB ). Im vorliegenden Fall jedoch, wo es um die Unterbringung der Kinder bei der Mutter geht, welcher die elterliche Gewalt entzogen worden ist, kann nicht die Rede davon sein, dass der Vater in seiner rechtlichen Stellung durch diese Anordnung unmittelbar betroffen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