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III 6</w:t>
      </w:r>
    </w:p>
    <w:p>
      <w:r>
        <w:t>Bundesgericht (BGE), 1986-01-01, DE</w:t>
      </w:r>
    </w:p>
    <w:p>
      <w:r>
        <w:rPr>
          <w:b/>
        </w:rPr>
        <w:t xml:space="preserve">Quelle: </w:t>
      </w:r>
      <w:r>
        <w:t>https://mcp.opencaselaw.ch/entscheid/bge_BGE_112_III_6</w:t>
      </w:r>
    </w:p>
    <w:p>
      <w:r>
        <w:t>FR: ATF 112 III 6</w:t>
      </w:r>
    </w:p>
    <w:p>
      <w:r>
        <w:t>IT: DTF 112 III 6</w:t>
      </w:r>
    </w:p>
    <w:p>
      <w:pPr>
        <w:pStyle w:val="Heading2"/>
      </w:pPr>
      <w:r>
        <w:t>Regeste</w:t>
      </w:r>
    </w:p>
    <w:p>
      <w:r>
        <w:t>Regeste Zustellung des Zahlungsbefehls durch öffentliche Bekanntmachung (Art. 66 Abs. 4 SchKG). Die Zustellung des Zahlungsbefehls durch öffentliche Bekanntmachung ist letztes Mittel; zu ihr darf nicht Zuflucht genommen werden, bevor vom Gläubiger und vom Betreibungsamt alle der Sachlage entsprechenden Nachforschungen unternommen wurden, um eine mögliche Zustelladresse des Schuldners herauszufinden. Die Banken sind gegenüber den Betreibungsbehörden zur Auskunft über Wohnort oder Zustelldomizil eines Schuldners, der verarrestierbare Vermögenswerte bei ihnen hinterlegt hat, verpflichtet und können die Auskunft nicht unter Berufung auf das Bankgeheimnis verweigern.</w:t>
      </w:r>
    </w:p>
    <w:p>
      <w:r>
        <w:t>Regeste Notification du commandement de payer par publication (art. 66 al. 4 LP). La notification du commandement de payer par publication officielle constitue un ultime moyen; il ne faut pas y recourir avant que toutes les recherches basées sur la situation de fait aient été entreprises par le créancier et l'office des poursuites pour découvrir une éventuelle adresse de notification du débiteur. Les banques sont tenues de renseigner les autorités de poursuites sur le domicile ou l'adresse d'un débiteur dont les biens déposés chez elles ont été séquestrés; elles ne peuvent refuser de fournir ces renseignements en invoquant le secret bancaire.</w:t>
      </w:r>
    </w:p>
    <w:p>
      <w:r>
        <w:t>Regesto Notificazione del precetto esecutivo mediante pubblicazione (art. 66 cpv. 4 LEF). La notificazione del precetto esecutivo mediante pubblicazione ufficiale costituisce la soluzione estrema; non può farvisi capo prima che il creditore e l'ufficio delle esecuzioni abbiano effettuato tutte le ricerche adeguate alla situazione di fatto per reperire un indirizzo ove possa essere eseguita la notificazione al debitore. Le banche sono tenute a comunicare alle autorità di esecuzione il domicilio o l'indirizzo di un debitore i cui beni depositati presso di esse siano stati sequestrati, e non possono rifiutarsi di fornire tali informazioni invocando il segreto bancario.</w:t>
      </w:r>
    </w:p>
    <w:p>
      <w:pPr>
        <w:pStyle w:val="Heading2"/>
      </w:pPr>
      <w:r>
        <w:t>Erwägungen</w:t>
      </w:r>
    </w:p>
    <w:p>
      <w:r>
        <w:rPr>
          <w:b/>
        </w:rPr>
        <w:t>E. 4</w:t>
      </w:r>
    </w:p>
    <w:p>
      <w:r>
        <w:t>Nach dem Dafürhalten der Rekurrentin hat die kantonale Aufsichtsbehörde die Mitteilung des Zahlungsbefehls an die Schuldnerin auf dem Ediktalweg zu Unrecht als ungültig bezeichnet. Die Rekurrentin ist der Auffassung, die Aufsichtsbehörde könne vom Betreibungsamt nicht verlangen, dass es mit zusätzlichen Nachforschungen die Anschrift der Schuldnerin zu eruieren versuche; insbesondere sei die Bank wegen des Bankgeheimnisses daran gehindert gewesen, Auskunft über die Adresse der Schuldnerin zu geben. Dieser Auffassung kann nicht zugestimmt werden. Zu Recht hat die Aufsichtsbehörde erkannt, dass das Betreibungsamt nicht Zuflucht zur öffentlichen Bekanntmachung des Zahlungsbefehls nehmen konnte, bevor es zusätzliche Nachforschungen über die Adresse der Schuldnerin anstellte. Die Zustellung auf dem Ediktalweg ist in der Tat letztes Mittel (AMONN, Grundriss des Schuldbetreibungs- und Konkursrechts, 3. Aufl. 1983, § 12 N. 15; FRITZSCHE/WALDER, Schuldbetreibung und Konkurs nach schweizerischem Recht I, § 14 Rz 27; GILLIÉRON, Poursuite pour dettes, faillite et concordat, S. 96, B). Es obliegt in erster Linie dem Gläubiger, dem Betreibungsamt Name und Wohnort des Schuldners bekanntzugeben, welchem der Zahlungsbefehl zuzustellen ist ( Art. 67 Abs. 1 Ziff. 2 SchKG ; BGE 109 III 7 ). Im vorliegenden Fall hat sich denn auch das Betreibungsamt an die Gläubigerin gewandt, um von ihr die Adresse der Schuldnerin zu erfahren, nachdem der Zahlungsbefehl an der angegebenen Adresse in Irland nicht hatte zugestellt werden können. Doch hat die Gläubigerin - obwohl sie selber in Irland ansässig ist und somit am besten in der Lage gewesen wäre, das Domizil der dort gesuchten Schuldnerin zu erfahren - umgehend durch ihren Rechtsvertreter in der Schweiz dem Betreibungsamt mitteilen lassen, dass es ihr nicht möglich sei, die neue Anschrift der Schuldnerin bekanntzugeben, und die Mitteilung des Zahlungsbefehls auf dem Ediktalweg verlangt. Der Verweis der kantonalen Aufsichtsbehörde auf BGE 64 III 43 E. 2, wo das Bundesgericht ausgeführt hat, es müssten vor der Beschreitung des Ediktalweges alle zweckmässigen, der Sachlage entsprechenden Nachforschungen versucht werden, um den Wohnort des Schuldners, d.h. eine mögliche Zustelladresse - sei es auch nicht an seinem allfälligen festen Wohnsitz - herauszufinden, BGE 112 III 6 S. 9 ist zutreffend. Im Lichte dieser Rechtsprechung hat die Vorinstanz insbesondere weitere Erkundigungen bei der Bank, an deren Geschäftsniederlassung der Arrest zu vollziehen war, über das Domizil der Schuldnerin verlangt. In tatsächlicher Hinsicht hat die Vorinstanz dazu festgestellt, dass die Bank in der Lage gewesen wäre, dem Betreibungsamt Angaben über die Adresse der Schuldnerin zu machen. Die Rekurrentin behauptet nicht, dass diese Feststellung auf offensichtlichem Versehen beruhe oder unter Verletzung bundesrechtlicher Beweisvorschriften zustande gekommen sei (Art. 63 Abs. 2 in Verbindung mit Art. 81 OG ; BGE 108 II 217 f. E. 1a). Sie machte nur geltend, dass die Bank wegen des Bankgeheimnisses zur Verweigerung jeglicher Auskunft verpflichtet gewesen sei und dass sie deshalb schon die Auskunft über von ihr verwahrte Vermögenswerte der Schuldnerin verweigert habe. Diese Argumentation der Rekurrentin widerspricht der Rechtsprechung. Richtig ist im Gegenteil, dass die Banken gegenüber dem Betreibungsamt zur Auskunft über Vermögensgegenstände, die sie verwahren und die mit Arrest zu belegen sind, verpflichtet sind und die Auskunft nicht unter Berufung auf das Bankgeheimnis verweigern können. Die Banken machen sich gegenüber dem Gläubiger, der durch die Verweigerung der Auskunft einen Schaden erleidet, zivilrechtlich verantwortlich. Allerdings zieht die Verweigerung keine strafrechtlichen Folgen nach sich, wenn der Bestand der Forderung im Zeitpunkt, wo der Arrest vollzogen wird, noch ungewiss ist ( BGE 101 III 63 E. 3 mit Hinweisen). Dasselbe gilt bezüglich der Auskunft von Banken über Wohnort bzw. Zustelldomizil eines Schuldners, der verarrestierbare Vermögenswerte bei ihnen hinterlegt hat. Die Ausführungen der kantonalen Aufsichtsbehörde erweisen sich demnach als bundesrechtskonform.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