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59</w:t>
      </w:r>
    </w:p>
    <w:p>
      <w:r>
        <w:t>Bundesgericht (BGE), 1986-01-01, FR</w:t>
      </w:r>
    </w:p>
    <w:p>
      <w:r>
        <w:rPr>
          <w:b/>
        </w:rPr>
        <w:t xml:space="preserve">Quelle: </w:t>
      </w:r>
      <w:r>
        <w:t>https://mcp.opencaselaw.ch/entscheid/bge_BGE_112_III_59</w:t>
      </w:r>
    </w:p>
    <w:p>
      <w:r>
        <w:t>FR: ATF 112 III 59</w:t>
      </w:r>
    </w:p>
    <w:p>
      <w:r>
        <w:t>IT: DTF 112 III 59</w:t>
      </w:r>
    </w:p>
    <w:p>
      <w:pPr>
        <w:pStyle w:val="Heading2"/>
      </w:pPr>
      <w:r>
        <w:t>Regeste</w:t>
      </w:r>
    </w:p>
    <w:p>
      <w:r>
        <w:t>Regeste Anmeldung des Drittanspruchs auf verarrestierte Vermögensgegenstände. Bei Beantwortung der Frage, ob der Dritte seinen Eigentumsanspruch verspätet angemeldet habe, muss auf den Zeitpunkt abgestellt werden, wo er persönlich Kenntnis vom Beschlag seiner Vermögensgegenstände bekommen hat (E. 1). Grundsätzlich muss der Eigentumsanspruch nicht angemeldet werden, solange die Aufsichtsbehörde nicht über eine Beschwerde entschieden hat, die den Arrestvollzug zum Gegenstand hat (E. 2). In casu Verneinung einer verspäteten Anmeldung des Drittanspruchs (E. 3 und 4).</w:t>
      </w:r>
    </w:p>
    <w:p>
      <w:r>
        <w:t>Regeste Revendication de biens séquestrés. Pour apprécier si le tiers a tardé à former sa revendication, il faut déterminer le moment où il a eu personnellement connaissance de la mesure frappant ses biens (consid. 1). En principe, la revendication n'a pas à être formée tant qu'il n'a pas été statué sur la plainte portée devant l'autorité de surveillance contre l'exécution du séquestre (consid. 2). Tardiveté de la revendication niée en l'espèce (consid. 3 et 4).</w:t>
      </w:r>
    </w:p>
    <w:p>
      <w:r>
        <w:t>Regesto Rivendicazione di beni sequestrati. Per decidere se il terzo ha formulato tardivamente la sua rivendicazione, occorre stabilire il momento in cui ha avuto conoscenza della misura che ha colpito i suoi beni (consid. 1). In linea di principio, la rivendicazione non dev'essere formulata finché l'autorità di vigilanza non abbia deciso sul reclamo presentatole contro l'esecuzione del sequestro (consid. 2). Tardività della rivendicazione negata nella fattispecie (consid. 3 e 4).</w:t>
      </w:r>
    </w:p>
    <w:p>
      <w:pPr>
        <w:pStyle w:val="Heading2"/>
      </w:pPr>
      <w:r>
        <w:t>Erwägungen</w:t>
      </w:r>
    </w:p>
    <w:p>
      <w:r>
        <w:rPr>
          <w:b/>
        </w:rPr>
        <w:t>E. 1</w:t>
      </w:r>
    </w:p>
    <w:p>
      <w:r>
        <w:t>Le tiers qui tarde à annoncer qu'il est propriétaire des biens saisis ou séquestrés perd son droit de revendication s'il sait ou doit savoir que son retard compromet le cours de la poursuite et amène le poursuivant à entreprendre des démarches tendant à l'exécution forcée dont il aurait pu s'abstenir s'il avait connu les droits revendiqués ( ATF 111 III 23 consid. 2; ATF 109 III 20 ; 60). Aucun reproche ne saurait être fait au tiers de ne pas faire valoir sa prétention tant qu'il ignore que des biens lui appartenant ont été saisis ou séquestrés. On doit donc déterminer à quel moment le tiers a personnellement eu connaissance de la mesure frappant ses biens. Ce n'est que lorsque ce point est établi que l'on peut apprécier si le laps de temps qui lui a été nécessaire pour former sa revendication est excessif et témoigne du fait qu'il a pu se rendre compte qu'il entravait le cours de la poursuite et que la bonne foi lui imposait de renseigner le poursuivant sur la prétention élevée, afin que celui-ci soit en mesure le cas échéant de recourir à d'autres formes d'exécution forcée, ou de renoncer à des procédés coûteux qui se révéleraient inutiles si le bien saisi ou séquestré ne fait pas partie du patrimoine de son véritable débiteur ( ATF 109 III 60 /61).</w:t>
      </w:r>
    </w:p>
    <w:p>
      <w:r>
        <w:rPr>
          <w:b/>
        </w:rPr>
        <w:t>E. 2</w:t>
      </w:r>
    </w:p>
    <w:p>
      <w:r>
        <w:t>En l'espèce, l'autorité cantonale a considéré que les revendiquantes n'avaient pas de raison d'annoncer leurs prétentions tant qu'était litigieuse la question de savoir si l'exécution du séquestre sur les comptes dont elles sont au moins formellement titulaires devait être maintenue. Cette opinion doit être approuvée. La revendication ne peut se concevoir qu'après l'exécution de la saisie ou du séquestre, c'est-à-dire au moment où le poursuivi a reçu l'avis de l'office qu'il ne peut plus disposer librement des biens frappés par la mesure ( art. 96 LP auquel renvoie l' art. 275 LP ; ATF 107 III 69 /70 consid. 1; ATF 97 III 22 ). En effet, seule la saisie ou le séquestre réserve les biens qui font l'objet de cette mesure en vue de leur réalisation au bénéfice du poursuivant. C'est dès lors uniquement au moment où la saisie, respectivement le séquestre, a été validement exécutée par l'office que le tiers peut se rendre compte que l'objet frappé par la mesure risque d'être réalisé, avec la conséquence de la perte possible de ses droits ( ATF 109 III 20 en bas). Dans la mesure où les biens litigieux échapperaient à la saisie ou au séquestre, le revendiquant ne courrait pas un tel risque. Aussi bien la revendication d'un bien insaisissable ne saurait-elle donner ouverture à la procédure BGE 112 III 59 S. 63 des art. 106 ss LP tant qu'il n'a pas été statué sur la saisissabilité du bien en cause ( ATF 84 III 35 consid. 3; ATF 83 III 20 ). L'action en contestation de revendication suppose que la saisie soit valable d'après les règles de la procédure ( ATF 96 III 117 consid. 4). C'est donc à bon droit que l'autorité cantonale a considéré que les revendiquantes n'avaient pas à annoncer leurs revendications aussi longtemps que les biens dont elles se prétendaient propriétaires risquaient d'échapper au poids du séquestre si l'exécution de cette mesure avait été annulée par les autorités de surveillance saisies de plaintes contre cette exécution.</w:t>
      </w:r>
    </w:p>
    <w:p>
      <w:r>
        <w:rPr>
          <w:b/>
        </w:rPr>
        <w:t>E. 3</w:t>
      </w:r>
    </w:p>
    <w:p>
      <w:r>
        <w:t>C'est également à bon droit que l'autorité de surveillance a considéré qu'en l'espèce la poursuivante n'a pas été surprise par une revendication inopinée, et qu'elle savait dès le moment où elle a requis le séquestre que les biens qu'elle faisait mettre sous main de justice risquaient d'être revendiqués par les titulaires - à tout le moins sur le plan formel - des comptes bancaires qu'elle désignait ( ATF 111 III 25 consid. 4).</w:t>
      </w:r>
    </w:p>
    <w:p>
      <w:r>
        <w:rPr>
          <w:b/>
        </w:rPr>
        <w:t>E. 4</w:t>
      </w:r>
    </w:p>
    <w:p>
      <w:r>
        <w:t>Au surplus, en l'espèce, les revendiquantes ont indiqué avec précision leurs revendications respectives déjà par lettre du 16 juillet 1984. Les indications données à cette occasion sont parfaitement claires et permettaient à l'Office des poursuites d'ouvrir la procédure de revendication dans les conditions exposées dans l' ATF 65 III 43 . Chacun des objets revendiqués est indiqué par le numéro du compte revendiqué dans un établissement bancaire clairement désigné. La lettre des intimées en date du 3 décembre 1984 à l'Office n'est pas plus claire. Tout ce qu'elle ajoute, c'est le montant des comptes en cause. Or cette indication n'a pas à être fournie par le revendiquant; c'est en effet à l'office des poursuites qu'il incombe d'estimer la valeur du bien saisi ( art. 97 al. 1 LP ) ou séquestré ( art. 275 LP renvoyant à l' art. 97 al. 1 LP ). Les revendications ont dès lors été valablement faites dès le 16 juillet 1984, avant même qu'il ait été définitivement statué sur la validité de l'exécution du séquestre, et moins d'un mois après que l'Office des poursuites eut donné suite à l'ordonnance de séquestre du 18 juin 1984. La question de la péremption du droit de revendication ne saurait se poser dans de telles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