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543 vom 1. Januar 1986</w:t>
      </w:r>
    </w:p>
    <w:p>
      <w:r>
        <w:t>Bundesgericht (BGE), 1986-01-01, IT</w:t>
      </w:r>
    </w:p>
    <w:p>
      <w:r>
        <w:rPr>
          <w:b/>
        </w:rPr>
        <w:t xml:space="preserve">Quelle: </w:t>
      </w:r>
      <w:r>
        <w:t>https://mcp.opencaselaw.ch/entscheid/bge_BGE_112_IB_543</w:t>
      </w:r>
    </w:p>
    <w:p>
      <w:r>
        <w:t>FR: BGE BGE 112 IB 543 du 1 janvier 1986</w:t>
      </w:r>
    </w:p>
    <w:p>
      <w:r>
        <w:t>IT: BGE BGE 112 IB 543 del 1 gennaio 1986</w:t>
      </w:r>
    </w:p>
    <w:p>
      <w:pPr>
        <w:pStyle w:val="Heading2"/>
      </w:pPr>
      <w:r>
        <w:t>Regeste</w:t>
      </w:r>
    </w:p>
    <w:p>
      <w:r>
        <w:t>Regeste Einsprache gegen ein Nationalstrassen-Ausführungsprojekt. 1. Zulässigkeit der Verwaltungsgerichtsbeschwerde. a) Der Entscheid der kantonalen Behörde, mit welchem die Einsprache einer gesamtschweizerischen Natur- und Heimatschutzvereinigung (Art. 12 Abs. 1 NHG) gegen ein Ausführungsprojekt abgewiesen wird, gilt als Entscheid über eine Einsprache gegen die Enteignung im Sinne von Art. 99 lit. c OG, obschon keine Landabtretung in Frage steht (Art. 12 Abs. 3 NHG in Verbindung mit Art. 9, 35 und 55 EntG, Art. 26 und 27 NSG): gegen ihn ist deshalb die Verwaltungsgerichtsbeschwerde und nicht die verwaltungsrechtliche Beschwerde an den Bundesrat zulässig (Bestätigung der Rechtsprechung; E. 1a). b) Der Schweizer Heimatschutz ist hier nicht nur gemäss Art. 12 Abs. 1 und 3 NHG sondern auch aufgrund von Art. 55 USG zur Verwaltungsgerichtsbeschwerde zuzulassen, obschon der Bundesrat bisher weder die Liste der einer Umweltverträglichkeitsprüfung zu unterziehenden Anlagen (Art. 55 Abs. 1 in Verbindung mit Art. 9 USG) noch jene der zur Beschwerde berechtigten Organisationen (Art. 55 Abs. 2 USG) veröffentlicht hat (E. 1b). c) Die gemäss Art. 12 NHG und Art. 55 NSG beschwerdeberechtigte Vereinigung kann auch insoweit Rügen gegen die im Ausführungsprojekt vorgesehene Linienführung erheben, als sich diese aus dem vom Bundesrat festgelegten generellen Projekt ergibt (E. 1d). 2. Gegenstand der Projekt-Auflage im Hinblick auf das Umweltschutzgesetz. Art. 9 USG verlangt nicht, dass der Bericht und die Ergebnisse der Umweltschutzverträglichkeitsprüfung zusammen mit dem Ausführungsprojekt aufgelegt würden: es genügt, dass diese von jedermann eingesehen werden können (E. 2). 3. Vereinbarkeit des Ausführungsprojektes mit dem vom Bundesrat genehmigten generellen Projekt; Art. 12 NSV. Das Ausführungsprojekt hält sich im Rahmen des generellen Projektes, soweit eine aufgrund eingehenderer Studien verbesserte Lösung geschaffen und damit den Anliegen der interessierten Gemeinde entsprochen wird, denen gemäss der Genehmigung des Bundesrates soweit als möglich Rechnung zu tragen ist. Vereinbarkeit im vorliegenden Fall trotz einer beträchtlichen Verlängerung des Zubringers und der Verlegung des Anschlusses an das kantonale Strassennetz bejaht (E. 3).</w:t>
      </w:r>
    </w:p>
    <w:p>
      <w:r>
        <w:t>Regeste Opposition à un projet définitif pour la construction d'une route nationale. 1. Recevabilité du recours de droit administratif. a) La décision de l'autorité cantonale qui rejette l'opposition à un projet définitif formée par une association d'importance nationale au sens de l'art. 12 al. 1 LPN doit être considérée comme une décision sur opposition contre une expropriation au sens de l'art. 99 let. c OJ, alors même qu'aucune cession de terrain n'est en jeu (art. 12 al. 3 LPN en relation avec les art. 9, 35 et 55 LEx, 26 et 27 LRN): elle ouvre donc la voie du recours de droit administratif au Tribunal fédéral et non celle du recours administratif au Conseil fédéral (confirmation de la jurisprudence; consid. 1a). b) La qualité pour former un recours de droit administratif doit être reconnue, en l'occurrence, à la Ligue suisse du patrimoine national (Heimatschutz) sur la base non seulement de l'art. 12 al. 3 LPN, mais aussi de l'art. 55 LPE, et ce bien que le Conseil fédéral n'ait encore publié à ce jour ni la liste des installations soumises à l'étude de l'impact sur l'environnement (art. 55 al. 1 en relation avec l'art. 9 LPE) ni celle des organisations disposant du droit de recours (art. 55 al. 2 LPE; consid. 1b). c) L'organisation habilitée à agir en vertu des art. 12 LPN et 55 LPE peut diriger des moyens contre le tracé fixé dans le projet définitif même en tant que ce tracé résulte du projet général établi par le Conseil fédéral (consid. 1d). 2. Objet de la mise à l'enquête du projet définitif au regard de la nouvelle loi sur la protection de l'environnement. L'art. 9 LPE ne prescrit pas que le rapport sur l'étude de l'impact sur l'environnement et les résultats de cette étude doivent être mis à l'enquête publique avec le projet définitif: il faut et il suffit que chacun puisse consulter ces documents (consid. 2). 3. Compatibilité du projet définitif avec le projet général approuvé par le Conseil fédéral; art. 12 ORN. Un projet définitif respecte le cadre du projet général s'il apporte une amélioration résultant d'études plus approfondies et donne suite à des requêtes des corporations publiques intéressées dont le Conseil fédéral a, en approuvant le projet général, ordonné qu'il soit tenu compte autant que possible. Compatibilité admise en l'espèce, malgré une extension notable du tracé et le déplacement du raccordement au réseau des routes cantonales (consid. 3).</w:t>
      </w:r>
    </w:p>
    <w:p>
      <w:r>
        <w:t>Regesto Opposizione ad un progetto esecutivo per la costruzione di una strada nazionale. 1. Ammissibilità del ricorso di diritto amministrativo. a) La decisione dell'autorità cantonale che respinge l'opposizione contro il progetto esecutivo presentata da un'associazione di importanza nazionale secondo l'art. 12 cpv. 1 LPN dev'essere considerata come presa su opposizione contro un'espropriazione ai sensi dell'art. 99 lett. c OG, benché non sia in gioco cessione di terreno (art. 12 cpv. 3 LPN in comb. con gli art. 9, 35 e 55 LEspr, 26 e 27 LSN): contro di essa è quindi ammissibile il ricorso di diritto amministrativo al Tribunale federale e non il ricorso amministrativo al Consiglio federale (conferma della giurisprudenza; consid. 1a). b) La Lega svizzera per la salvaguardia del patrimonio nazionale è in materia legittimata a proporre ricorso di diritto amministrativo non solo in virtù dell'art. 12 cpv. 1 e 3 LPN ma anche in virtù dell'art. 55 LPA, e ciò nonostante che il Consiglio federale non abbia ancora pubblicato né la lista degli impianti soggetti all'esame dell'impatto sull'ambiente (art. 55 cpv. 1 in comb. con l'art. 9 LPA) né quella delle organizzazioni legittimate a ricorrere (art. 55 cpv. 2 LPA) (consid. 1b). c) L'organizzazione legittimata ai sensi degli art. 12 LPN e 55 LPA può sollevare censure contro il tracciato del progetto esecutivo anche nella misura in cui questo ricalca quello del progetto generale stabilito dal Consiglio federale (consid. 1d). 2. Contenuto della pubblicazione del progetto esecutivo alla luce della nuova LPA. L'art. 9 LPA non prescrive che il rapporto ed i risultati dell'esame dell'impatto ambientale debbano essere pubblicati insieme con il progetto esecutivo: occorre e basta che questi atti possano essere consultati da ognuno (consid. 2). 3. Compatibilità del progetto esecutivo con quello generale approvato dal Consiglio federale; art. 12 OSN. Un progetto esecutivo rispetta il quadro di quello generale, ove ne costituisca un miglioramento conseguente a più approfonditi studi e sia conforme ai postulati presentati dagli enti interessati, di cui il Consiglio federale, approvando il progetto generale, ha ordinato di tener conto nella misura del possibile. Conformità ammessa nel caso concreto, nonostante il prolungamento notevole della lunghezza del tracciato e lo spostamento dell'inserzione del raccordo nella rete cantonale (consid. 3).</w:t>
      </w:r>
    </w:p>
    <w:p>
      <w:pPr>
        <w:pStyle w:val="Heading2"/>
      </w:pPr>
      <w:r>
        <w:t>Erwägungen</w:t>
      </w:r>
    </w:p>
    <w:p>
      <w:r>
        <w:rPr>
          <w:b/>
        </w:rPr>
        <w:t>E. 1</w:t>
      </w:r>
    </w:p>
    <w:p>
      <w:r>
        <w:t>Zulässigkeit der Verwaltungsgerichtsbeschwerde. a) Der Entscheid der kantonalen Behörde, mit welchem die Einsprache einer gesamtschweizerischen Natur- und Heimatschutzvereinigung ( Art. 12 Abs. 1 NHG ) gegen ein Ausführungsprojekt abgewiesen wird, gilt als Entscheid über eine Einsprache gegen die Enteignung im Sinne von Art. 99 lit. c OG , obschon keine Landabtretung in Frage steht ( Art. 12 Abs. 3 NHG in Verbindung mit Art. 9, 35 und 55 EntG , Art. 26 und 27 NSG ): gegen ihn ist deshalb die Verwaltungsgerichtsbeschwerde und nicht die verwaltungsrechtliche Beschwerde an den Bundesrat zulässig (Bestätigung der Rechtsprechung; E. 1a). b) Der Schweizer Heimatschutz ist hier nicht nur gemäss Art. 12 Abs. 1 und 3 NHG sondern auch aufgrund von Art. 55 USG zur Verwaltungsgerichtsbeschwerde zuzulassen, obschon der Bundesrat bisher weder die Liste der einer Umweltverträglichkeitsprüfung zu unterziehenden Anlagen (Art. 55 Abs. 1 in Verbindung mit Art. 9 USG ) noch jene der zur Beschwerde berechtigten Organisationen ( Art. 55 Abs. 2 USG ) veröffentlicht hat (E. 1b). c) Die gemäss Art. 12 NHG und Art. 55 NSG beschwerdeberechtigte Vereinigung kann auch insoweit Rügen gegen die im Ausführungsprojekt vorgesehene Linienführung erheben, als sich diese aus dem vom Bundesrat festgelegten generellen Projekt ergibt (E. 1d).</w:t>
      </w:r>
    </w:p>
    <w:p>
      <w:r>
        <w:rPr>
          <w:b/>
        </w:rPr>
        <w:t>E. 2</w:t>
      </w:r>
    </w:p>
    <w:p>
      <w:r>
        <w:t>Gegenstand der Projekt-Auflage im Hinblick auf das Umweltschutzgesetz. Art. 9 USG verlangt nicht, dass der Bericht und die Ergebnisse der Umweltschutzverträglichkeitsprüfung zusammen mit dem Ausführungsprojekt aufgelegt würden: es genügt, dass diese von jedermann eingesehen werden können (E. 2).</w:t>
      </w:r>
    </w:p>
    <w:p>
      <w:r>
        <w:rPr>
          <w:b/>
        </w:rPr>
        <w:t>E. 3</w:t>
      </w:r>
    </w:p>
    <w:p>
      <w:r>
        <w:t>Rispetto al progetto generale, l'arteria di raccordo è stata prolungata e la sua inserzione nella rete cantonale spostata a sud-ovest. A torto a tal proposito la ricorrente - per motivare la censura secondo cui il progetto esecutivo in questa misura non troverebbe più appoggio in quello generale - si riferisce alla sentenza pubblicata in DTF 106 Ib 26 segg.: in quel caso, infatti, il Cantone di Lucerna, applicando diritto cantonale, aveva progettato un raccordo non previsto dal progetto generale approvato dal Consiglio federale, violando con ciò il diritto federale esclusivamente applicabile (sentenza citata, pagg. 30/31). Nel caso in esame, per contro, il Canton Ticino ha applicato diritto federale e la questione che si pone è unicamente quella di sapere se il progetto controverso costituisca ancora esecuzione di quello generale, oppure se ne scosti in modo tale da non trovare più in esso sufficiente sostegno, cosicché si dovrebbe trarre la conclusione o che il progetto esecutivo dev'essere ridotto o che quello generale dev'essere riveduto dal Consiglio federale. Per pronunciarsi su questo punto, non è lecito basarsi unicamente - come sembra voler fare la Lega - sulla planimetria 1: 5000 del progetto generale, ma occorre fondarsi sull'insieme degli atti che costituiscono tale progetto, nonché sulle considerazioni esposte dal Consiglio federale nella decisione d'approvazione del 14 settembre 1983. Ora, da queste motivazioni risulta chiaramente che il Consiglio federale ha dato tra l'altro mandato al Cantone di esaminare e, nella misura del possibile, accogliere le domande e i desiderata espressi dai comuni in occasione della procedura di consultazione. Il divario che è qui in contestazione non concerne lo svincolo vero e proprio della strada nazionale, che in entrambi i progetti costituisce un ampliamento di quello già esistente a Mendrisio/San Martino, ma unicamente l'allacciamento della prevista arteria di raccordo con l'esistente rete cantonale, allacciamento che viene portato oltre il villaggio di Ligornetto. Certo, il prolungamento dell'arteria è rilevante: tuttavia, tenendo conto della finalità generale della nuova strada, che è quella di sgravare gli abitati dall'intenso traffico - particolarmente pesante - che li attraversa in provenienza da e in direzione del valico del Gaggiolo, e delle precise indicazioni fornite dal Consiglio federale in sede d'approvazione BGE 112 Ib 543 S. 554 del progetto generale, si deve riconoscere che quello esecutivo non ne valica il quadro, ma ne costituisce l'approfondimento, in accoglimento dei desiderata del Comune di Ligornetto e, in parte, di quello di Stabio. Che lo spostamento dell'innesto nella rete cantonale abbia il pregio di sgravare il villaggio di Ligornetto e la sua popolazione in misura più adeguata e meglio consona alle finalità dell'opera, neppure la ricorrente può seriamente contestare. A ciò si aggiunga che dall' art. 12 OSN risulta bensì, come il Tribunale federale ha già sottolineato ( DTF 106 Ib 29 /30 consid. 12a), che il progetto generale va elaborato con la massima precisione, in maniera che non siano da aspettarsi notevoli spostamenti del tracciato, dei punti di collegamento e delle opere d'intersezione, ma che tale disposizione non intende manifestamente impedire in modo categorico ogni modifica e segnatamente ogni miglioramento che l'approfondimento degli studi e la consultazione degli enti interessati facessero in prosieguo apparire opportuni: esigere che ogni modificazione sia preceduta da una revisione del progetto generale, nonostante che i lineamenti e le finalità di questo non siano mutati, significherebbe prolungare inutilmente la progettazione e contribuirebbe ad un inammissibile rincaro dell'opera. È anche di rilievo, a tal riguardo, che il competente DFTCE ha nel frattempo approvato il progetto esecutivo senza riserva alcuna in punto alla sua compatibilità con quello generale licenziato dal Governo e non v'è quindi motivo per il Tribunale federale di adottare atteggiamento diverso. Manifestamente infondata appare poi l'obiezione della Lega secondo cui, come progettata, l'attuale estensione dell'arteria di raccordo imprimerebbe alla sua ipotetica futura continuazione verso il Gaggiolo una direzione affatto diversa da quella che lascerebbe supporre il progetto generale. Per convincersene, basta confrontare le planimetrie del progetto generale e di quello esecutivo: se si ipotizza un prolungamento dell'arteria di raccordo disegnata nel primo dei due oltre il previsto e poi soppresso svincolo della Guardia, appare evidente che un simile prolungamento si situerebbe fra l'esistente strada cantonale ed il binario ferroviario e corrisponderebbe pertanto praticamente con il prolungamento previsto nell'attuale progetto esecutivo. È poi vano fare ipotesi su un'eventuale futura continuazione dell'arteria di raccordo verso Stabio ed il valico del Gaggiolo: simile prolungamento - per quanto auspicato dal Cantone - non è almeno per il momento preso in considerazione, BGE 112 Ib 543 S. 555 come si è saputo al sopralluogo, dalle autorità federali, che non intenderebbero attirare ulteriore traffico sulla strada nazionale col rischio di provocarne l'intasamento. Si può tutt'al più rilevare a tal proposito che, come ha opportunamente osservato il Cantone, il tracciato di tale prolungamento verrebbe per buona parte a coincidere con quello caldeggiato dalla stessa ricorrente. Se ne deve concludere che la censura relativa al divario fra il progetto generale e quello esecutivo non ha fondamento e che il Cantone, elaborando quest'ultimo progetto, non ha violato il diritto federale scostandosi in modo inammissibile dalla decisione del Consiglio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