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51 vom 1. Januar 1986</w:t>
      </w:r>
    </w:p>
    <w:p>
      <w:r>
        <w:t>Bundesgericht (BGE), 1986-01-01, DE</w:t>
      </w:r>
    </w:p>
    <w:p>
      <w:r>
        <w:rPr>
          <w:b/>
        </w:rPr>
        <w:t xml:space="preserve">Quelle: </w:t>
      </w:r>
      <w:r>
        <w:t>https://mcp.opencaselaw.ch/entscheid/bge_BGE_112_IB_51</w:t>
      </w:r>
    </w:p>
    <w:p>
      <w:r>
        <w:t>FR: BGE BGE 112 IB 51 du 1 janvier 1986</w:t>
      </w:r>
    </w:p>
    <w:p>
      <w:r>
        <w:t>IT: BGE BGE 112 IB 51 del 1 gennaio 1986</w:t>
      </w:r>
    </w:p>
    <w:p>
      <w:pPr>
        <w:pStyle w:val="Heading2"/>
      </w:pPr>
      <w:r>
        <w:t>Regeste</w:t>
      </w:r>
    </w:p>
    <w:p>
      <w:r>
        <w:t>Regeste Art. 18 Abs. 1 Satz 2 GSchG. Ausnahmsweise Befreiung von der Anschlusspflicht aus wichtigen Gründen. Eine solche Ausnahmebewilligung kann nur erteilt werden, wenn das Beharren auf der Anschlusspflicht zu einer vom Gesetzgeber nicht gewollten Härte führen würde oder offensichtlich unzweckmässig wäre. Dabei kommt dem Gleichbehandlungsgebot nach Art. 4 BV erhebliches Gewicht zu. Im vorliegenden Fall ist dieses durch die Verweigerung der Ausnahmebewilligung nicht verletzt worden.</w:t>
      </w:r>
    </w:p>
    <w:p>
      <w:r>
        <w:t>Regeste Art. 18 al. 1 2e phrase LPEP. Dérogation à l'obligation de raccordement fondée sur des motifs impérieux. Une dispense exceptionnelle ne peut être accordée que si le maintien de l'obligation de raccordement aboutirait à une rigueur excessive non voulue par le législateur ou serait manifestement contre-indiqué. Le principe de l'égalité de traitement posé à l'art. 4 Cst. revêt à cet égard une importance particulière. En l'espèce, le refus d'accorder une dérogation ne viole pas ce principe.</w:t>
      </w:r>
    </w:p>
    <w:p>
      <w:r>
        <w:t>Regesto Art. 18 cpv. 1 secondo periodo LCIA. Deroga all'obbligo di allacciamento fondata su motivi gravi. Una deroga può essere accordata soltanto se l'obbligo di allacciamento comporterebbe un rigore eccessivo non voluto dal legislatore o risulterebbe manifestamente inappropriato. Il principio dell'uguaglianza di trattamento sgorgante dall'art. 4 Cost. assume al riguardo particolare rilevanza. Nella fattispecie concreta esso non è stato violato dal diniego di un'autorizzazione eccezionale.</w:t>
      </w:r>
    </w:p>
    <w:p>
      <w:pPr>
        <w:pStyle w:val="Heading2"/>
      </w:pPr>
      <w:r>
        <w:t>Erwägungen</w:t>
      </w:r>
    </w:p>
    <w:p>
      <w:r>
        <w:rPr>
          <w:b/>
        </w:rPr>
        <w:t>E. 4</w:t>
      </w:r>
    </w:p>
    <w:p>
      <w:r>
        <w:t>... (Der Anschluss an die örtliche Kläranlage ist zweckmässig, da diese noch über unausgeschöpfte Reserven verfügt. Er ist auch zumutbar.)</w:t>
      </w:r>
    </w:p>
    <w:p>
      <w:r>
        <w:rPr>
          <w:b/>
        </w:rPr>
        <w:t>E. 5</w:t>
      </w:r>
    </w:p>
    <w:p>
      <w:r>
        <w:t>Aufgrund der vorstehenden Erwägungen ist die Anschlusspflicht grundsätzlich zu bejahen. Damit stellt sich die Frage, ob eine Ausnahmebewilligung im Sinne von Art. 18 Abs. 1 Satz 2 GSchG erteilt werden könnte. Wie im öffentlichen Baurecht stellt diese Ausnahmeregelung im Gewässerschutzrecht ein allgemeines Rechtsinstitut dar, das bezweckt, im Einzelfall Härten und offensichtliche Unzweckmässigkeiten zu beseitigen.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daher immer, dass solche besondere Umstände vorliegen. Ob dies im konkreten Fall zutrifft, ist sorgfältig zu prüfen, da eine leichtfertige Erteilung von Ausnahmebewilligungen die verfassungsrechtlichen Gebote der Gesetzmässigkeit der Verwaltung und der rechtsgleichen Behandlung der Bürger verletzen würde. Das Institut der Ausnahmebewilligung darf nicht so gehandhabt werden, dass damit im Ergebnis das Gesetz selbst geändert wird ( BGE 107 Ib 119 E. 2b; BGE 107 Ia 216 E. 5; je mit Hinweisen). Die Anwendung der in Art. 18 Abs. 1 Satz 2 GSchG enthaltenen unbestimmten Rechtsbegriffe "wichtige Gründe" und "angezeigt" überprüft das Bundesgericht als Rechtsfrage frei. Dabei übt es aber Zurückhaltung, da der Verwaltung ein gewisser Beurteilungsspielraum zuzuerkennen ist, soweit vorwiegend technische Fragen der Zweckmässigkeit zu lösen sind ( BGE 107 Ib 121 E. 4a; BGE 104 Ib 112 E. 3; je mit Hinweisen). Im vorliegenden Fall kommt nur die zweite der beiden in Art. 18 Abs. 1 Satz 2 GSchG festgehaltenen Ausnahmemöglichkeiten in Betracht: Es muss sich um Abwässer handeln, für welche die zentrale Reinigung "aus anderen wichtigen Gründen nicht angezeigt ist". Der Umstand, dass eine Baute im Zeitpunkt der Inbetriebnahme einer Kanalisationsleitung bereits besteht, gilt nach der Praxis nicht als Ausnahme-Sachverhalt im Sinne von Art. 18 Abs. 1 Satz 2 GSchG ( BGE 107 Ib 120 E. 3a mit Hinweisen). Bei der Auslegung von Art. 18 Abs. 1 Satz 2 GSchG ist zu beachten, dass mit der Anschlusspflicht nicht nur der technische Zweck BGE 112 Ib 51 S. 54 der einwandfreien Reinigung der Abwässer verfolgt wird, sondern wie schon in anderem Zusammenhang ausgeführt auch eine ausgewogene, gemeinschaftliche und rechtsgleiche Finanzierung der für den Gewässerschutz erforderlichen Kanalisations- und Reinigungsanlagen ( BGE 107 Ib 118 E. 2a). Die Erteilung von Ausnahmebewilligungen an alle Landwirte, welche die in der "Wegleitung für den Gewässerschutz in der Landwirtschaft" (herausgegeben von den Bundesämtern für Landwirtschaft und Umweltschutz) genannten Voraussetzungen erfüllen, würde gerade in kleinen Bauerndörfern die Finanzierung der vom Gesetz verlangten Anlagen verunmöglichen oder doch stark beeinträchtigen. Die Ausnahme würde zur Regel; es entstünde ein Sonderrecht zugunsten eines Zweiges der Landwirtschaft, was der Gesetzgeber gerade nicht wollte. Eine Ausnahmebewilligung kann deshalb nur dann erteilt werden, wenn das Beharren auf der Anschlusspflicht zu einer vom Gesetzgeber nicht gewollten Härte führen würde oder offensichtlich unzweckmässig wäre, d.h. wenn besondere Umstände vorliegen, die ein Abweichen von der Regel verlangen ( BGE 107 Ib 122 E. 4b mit Hinweisen). Dass unter dem Gesichtspunkt der Zweckmässigkeit kein Härtefall vorliegt, ergibt sich aus den vorstehenden Erörterungen. Im Zusammenhang mit der Prüfung der Frage einer Ausnahmebewilligung kommt sodann dem Gleichbehandlungsgebot von Art. 4 BV erhebliches Gewicht zu ( BGE 107 Ib 123 E. 4b, insbesondere im Vergleich zu den übrigen landwirtschaftlichen Betrieben in derselben Gemeinde. Am Augenschein wurde festgestellt, dass neben dem "Freihof" und dem Hof "Wiesental" nur noch zwei Betriebe in der Gemeinde O. ausserhalb der Bauzone und ausserhalb des GKP liegen. Der eine Betrieb ist an die Kanalisation angeschlossen und der andere liegt höhenmässig derart tief, dass er nur beim Einbau einer Pumpe angeschlossen werden könnte. Mit Bezug auf den Hof "Wiesental" und den "Freihof" hat die Vorinstanz keine rechtlichen Unterschiedungen getroffen, die nicht auf wichtige tatsächliche Verschiedenheit zurückzuführen sind ( BGE 107 Ia 228 E. 3, BGE 96 I 16 E. 3; je mit Hinweisen). Die Frage der Anschlusspflicht wird in der Gemeinde O. nämlich generell nur dann geprüft, wenn bei einem landwirtschaftlichen Betrieb ausserhalb von Bauzone und GKP bauliche Massnahmen vorgenommen werden. Dies ist bei den beiden genannten Höfen im Gegensatz zum Betrieb des Beschwerdeführers nicht der Fall. Ein nicht unwesentlicher Unterschied liegt sodann darin, dass in Folge der grösseren Entfernung der Betriebe "Freihof" und "Wiesental" vom Kanalisationsstrang ein Anschluss BGE 112 Ib 51 S. 55 zwei- bis dreimal mehr kosten würde als beim Wohnhaus des Beschwerdeführers, sodass allenfalls die Prüfung der Zumutbarkeit im Sinne von Art. 18 AGSchV zu einem anderen Ergebnis führen würde. Damit liegt auch keine Verletzung des Grundsatzes der Rechtsgleichheit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