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280 vom 1. Januar 1986</w:t>
      </w:r>
    </w:p>
    <w:p>
      <w:r>
        <w:t>Bundesgericht (BGE), 1986-01-01, DE</w:t>
      </w:r>
    </w:p>
    <w:p>
      <w:r>
        <w:rPr>
          <w:b/>
        </w:rPr>
        <w:t xml:space="preserve">Quelle: </w:t>
      </w:r>
      <w:r>
        <w:t>https://mcp.opencaselaw.ch/entscheid/bge_BGE_112_IB_280</w:t>
      </w:r>
    </w:p>
    <w:p>
      <w:r>
        <w:t>FR: BGE BGE 112 IB 280 du 1 janvier 1986</w:t>
      </w:r>
    </w:p>
    <w:p>
      <w:r>
        <w:t>IT: BGE BGE 112 IB 280 del 1 gennaio 1986</w:t>
      </w:r>
    </w:p>
    <w:p>
      <w:pPr>
        <w:pStyle w:val="Heading2"/>
      </w:pPr>
      <w:r>
        <w:t>Regeste</w:t>
      </w:r>
    </w:p>
    <w:p>
      <w:r>
        <w:t>Regeste Einsprachen gegen die Enteignung für einen Waffenplatz; Zuständigkeit des Eidg. Militärdepartementes zur Einleitung des Enteignungsverfahrens; Instruktion des Einspracheverfahrens. Der Entscheid der Einsprachebehörde gilt aufgrund von Art. 12 Abs. 3 NHG in Verbindung mit Art. 9, 35 und 55 EntG auch gegenüber den gesamtschweizerischen Natur- und Heimatschutzvereinigungen als Entscheid über eine Einsprache gegen die Enteignung im Sinne von Art. 99 lit. c OG, obwohl keine Abtretung von Rechten in Frage steht, und ist daher mit Verwaltungsgerichtsbeschwerde anfechtbar (E. 2). Für die blosse Delegation der Befugnis zur Ausübung des dem Bund zustehenden Enteignungsrechts vom Bundesrat an eine andere Amtsstelle (Art. 3 Abs. 1 EntG) können keine höheren Anforderungen an die Form gestellt werden, als sie das Enteignungsgesetz selbst für die Übertragung des Expropriationsrechts an Dritte vorsieht (Art. 3 Abs. 2 EntG). Art. 98 des Beschlusses der Bundesversammlung über die Verwaltung der schweizerischen Armee genügt daher für die Ermächtigung des EMD zur Einleitung von Enteignungsverfahren, obschon diese Bestimmung dem Referendum entzogen war (E. 6; Bestätigung der Rechtsprechung). Der Entscheid des Bundesrates oder einer anderen Amtsstelle, das Enteignungsrecht auszuüben (Art. 3 Abs. 1 EntG), ist vorläufiger Natur und vermag den Einspracheentscheid nicht zu präjudizieren (E. 8a). Auch andere Vorentscheide und Stellungnahmen von Bundes- oder kantonalen Behörden können für den Einspracheentscheid nicht ausschlaggebend sein; sie sind aber im Einspracheverfahren im Rahmen der Interessenabwägung mitzuberücksichtigen (E. 8b). Bedeutung der Aufnahme eines Gebietes ins BLN-Inventar (E. 8c). Prüfung, ob der Sachverhalt vollständig und unter Wahrung des rechtlichen Gehörs abgeklärt worden sei (E. 9-13). Bejaht hinsichtlich der - Notwendigkeit eines neuen Waffenplatzes (E. 10a) - Berücksichtigung der landwirtschaftlichen Interessen (E. 10b) Zusätzliche Abklärungen sind notwendig über - Umfang der Enteignung (E. 11) - Auswirkung der Anlagen auf Natur und Landschaft (E. 12a-c) - Sicherheit bei Schiessübungen (E. 12d) - Lärmimmissionen (E. 12e) - Strassenverbindungen (E. 12f) - Kasernenstandort (E. 13) Im Einspracheverfahren hat die Einsprachebehörde nicht nur über die Kosten, sondern auch über die Parteientschädigungen zu befinden (E. 15).</w:t>
      </w:r>
    </w:p>
    <w:p>
      <w:r>
        <w:t>Regeste Oppositions à l'expropriation pour une place d'armes; compétence du Département militaire fédéral pour ouvrir la procédure d'expropriation; instruction de la procédure d'opposition. En vertu de l'art. 12 al. 3 LPN combiné avec les art. 9, 35 et 55 LEx, la décision de l'autorité compétente en matière d'opposition vaut également à l'égard des associations de protection de la nature et du paysage d'importance nationale comme décision sur opposition contre une expropriation au sens de l'art. 99 let. c OJ, bien qu'aucune cession de droits ne soit en cause; elle leur ouvre donc la voie du recours de droit administratif (consid. 2). La simple délégation, du Conseil fédéral à une autre autorité, du pouvoir d'exercer le droit d'expropriation (art. 3 al. 1 LEx) ne peut être soumise à des exigences de forme plus élevées que celles prévues par la loi sur l'expropriation elle-même pour l'attribution du droit d'expropriation à des tiers (art. 3 al. 2 LEx). L'art. 98 de l'arrêté de l'Assemblée fédérale concernant l'administration de l'armée suisse est donc suffisant pour conférer au DMF le pouvoir d'ouvrir la procédure d'expropriation, bien que cette disposition ait été soustraite au référendum (consid. 6; confirmation de la jurisprudence). La décision du Conseil fédéral ou d'une autre autorité d'exercer le droit d'expropriation (art. 3 al. 1 LEx) est de nature provisoire et ne saurait préjuger de la décision sur opposition (consid. 8a). Il est également d'autres décisions et prises de position d'autorités fédérales ou cantonales incapables de préjuger du sort des oppositions; il convient néanmoins d'en tenir compte en procédure d'opposition, dans le cadre de la pesée des intérêts (consid. 8b). Portée de la mise d'un territoire à l'inventaire IFP (consid. 8c). Examen de la question de savoir si les faits ont été élucidés de façon complète et en respectant le droit d'être entendu (consid. 9-13). Question résolue par l'affirmative en ce qui concerne - la nécessité d'une nouvelle place d'armes (consid. 10a) - la prise en considération des intérêts de l'agriculture (consid. 10b) Des éclaircissements complémentaires sont nécessaires au sujet de - l'étendue de l'expropriation (consid. 11) - la répercussion des installations sur la nature et le paysage (consid. 12a-c) - la sécurité lors des exercices de tir (consid. 12d) - les immissions provoquées par le bruit (consid. 12e) - les liaisons routières (consid. 12f) - l'emplacement des casernes (consid. 13) L'autorité compétente en matière d'opposition doit statuer non seulement sur les frais, mais aussi sur les dépens (consid. 15).</w:t>
      </w:r>
    </w:p>
    <w:p>
      <w:r>
        <w:t>Regesto Opposizioni all'espropriazione per una piazza d'armi; competenza del Dipartimento militare federale per aprire la procedura d'opposizione; istruzione della procedura d'opposizione. In virtù dell'art. 12 cpv. 3 LPN in relazione con gli art. 9, 35 e 55 LEspr, la decisione dell'autorità competente in materia d'opposizione costituisce anche nei confronti delle associazioni d'importanza nazionale che si occupano della protezione della natura e del paesaggio una decisione su opposizione contro un'espropriazione, ai sensi dell'art. 99 lett. c OG, benché non sia in causa alcuna cessione di diritti; tale decisione è pertanto impugnabile con ricorso di diritto amministrativo (consid. 2). La semplice delega, conferita dal Consiglio federale ad altra autorità, del potere d'esercitare il diritto d'espropriazione spettante alla Confederazione (art. 3 cpv. 1 LEspr) non può essere soggetta a requisiti formali più elevati di quelli previsti dalla stessa legge sull'espropriazione per l'attribuzione a terzi del diritto d'espropriazione (art. 3 cpv. 2 LEspr). L'art. 98 del decreto dell'Assemblea federale concernente l'amministrazione dell'esercito svizzero è quindi sufficiente per conferire al DMF il potere di aprire la procedura d'espropriazione, pur essendo stata tale disposizione sottratta al referendum (consid. 6; conferma della giurisprudenza). La decisione del Consiglio federale o di altra autorità di esercitare il diritto d'espropriazione (art. 3 cpv. 1 LEspr) ha natura provvisoria e non può pregiudicare la decisione su opposizione (consid. 8a). Neppure altre decisioni preliminari e prese di posizione d'autorità federali o cantonali possono essere determinanti per la decisione su opposizione; ne va tuttavia tenuto conto nel quadro della ponderazione degli interessi da effettuare nella procedura su opposizione (consid. 8b). Rilevanza dell'inclusione di un'area nell'inventario federale dei paesaggi, siti e monumenti naturali (consid. 8c). Esame della questione se i fatti siano stati acclarati in modo esauriente e rispettando il diritto di essere sentito (consid. 9-13). Questione risolta affermativamente per quanto concerne - la necessità di una nuova piazza d'armi (consid. 10a) - la considerazione degli interessi dell'agricoltura (consid. 10b) Chiarimenti ulteriori sono necessari circa - l'estensione dell'espropriazione (consid. 11) - la ripercussione delle installazioni sulla natura e sul paesaggio (consid. 12a-c) - la sicurezza in occasione degli esercizi di tiro (consid. 12d) - le immissioni provocate dal rumore (consid. 12e) - i collegamenti stradali (consid. 12f) - l'ubicazione delle caserme (consid. 13) Nella procedura d'opposizione l'autorità competente deve decidere non solo sulle spese, ma anche sull'indennità per ripetibili (consid. 15).</w:t>
      </w:r>
    </w:p>
    <w:p>
      <w:pPr>
        <w:pStyle w:val="Heading2"/>
      </w:pPr>
      <w:r>
        <w:t>Erwägungen</w:t>
      </w:r>
    </w:p>
    <w:p>
      <w:r>
        <w:rPr>
          <w:b/>
        </w:rPr>
        <w:t>E. 2</w:t>
      </w:r>
    </w:p>
    <w:p>
      <w:r>
        <w:t>Die angefochtenen Entscheide sind als Verfügungen über Pläne grundsätzlich nur insofern mit Verwaltungsgerichtsbeschwerde anfechtbar, als sie auf Einsprache gegen die Enteignung hin ergangen sind ( Art. 99 lit. c OG ). Die eingereichten Verwaltungsgerichtsbeschwerden sind daher zulässig, soweit sie von jenen Personen erhoben worden sind, die für das Werk Eigentum oder andere Rechte, allenfalls auch nachbarliche Abwehrrechte gegen Immissionen, abzutreten haben. Zulässig ist ebenfalls die Beschwerde der Stiftung WWF Schweiz, die durch Art. 12 Abs. 3 des BGE 112 Ib 280 S. 288 Bundesgesetzes über den Natur- und Heimatschutz vom 1. Juli 1966 (NHG) zur Geltendmachung von Einsprachen und Begehren gemäss Art. 9, 35 und 55 des Bundesgesetzes über die Enteignung vom 20. Juni 1930 (EntG) ermächtigt wird; auch insofern muss der Departementsentscheid als Entscheid über eine Einsprache gegen die Enteignung im Sinne von Art. 99 lit. c OG gelten, obwohl es hier um keine Abtretung von Rechten geht. Allen anderen Einsprechern wäre dagegen die Verwaltungsgerichtsbeschwerde ans Bundesgericht verwehrt und stünde nur die verwaltungsrechtliche Beschwerde an den Bundesrat offen ( Art. 73 Abs. 1 lit. c und Art. 74 lit. a VwVG ). Werden indessen - wie hier - die selben Pläne sowohl von Enteigneten als auch von weiteren Interessierten mit gleichen oder ähnlichen Rügen angefochten, so behandelt das Bundesgericht aus Gründen der Rechtssicherheit und der Prozessökonomie kompetenzausweitend sämtliche Beschwerden ( BGE 110 Ib 401 E. 1c; BGE 111 Ib 291 E. 1a). Unter diesem Gesichtswinkel kann auf alle Beschwerden eingetreten werden.</w:t>
      </w:r>
    </w:p>
    <w:p>
      <w:r>
        <w:rPr>
          <w:b/>
        </w:rPr>
        <w:t>E. 6</w:t>
      </w:r>
    </w:p>
    <w:p>
      <w:r>
        <w:t>Soweit der Einwand, das EMD sei zur Einleitung der Enteignung nicht befugt gewesen, von den Beschwerdeführern rechtzeitig erhoben worden ist, hat sich das Bundesgericht von neuem mit ihm zu befassen, da die in BGE 109 Ib 134 ff. hiezu angestellten Erwägungen für den Entscheid nicht massgeblich, sondern nur sog. obiter dicta waren und als solche ohnehin keine Rechtskraft entfalten können. Die erneute Prüfung der Kompetenzordnung führt jedoch, wie das Bundesgericht bereits im Entscheid vom 18. Juni 1986 i.S. R. und M. gegen die Schweiz. Eidgenossenschaft festgestellt hat, zu keinem anderen Ergebnis. Die Beschwerdeführer werfen unter anderem die Frage auf, ob Art. 98 des Beschlusses der Bundesversammlung über die Verwaltung der schweizerischen Armee vom 30. März 1949 (BBVers VA; SR 510.30), welcher das Eidg. Militärdepartement zur Enteignung für militärische Anlagen ermächtigt, nicht durch das Geschäftsverkehrsgesetz vom 23. März 1962 (Bundesgesetz über den Geschäftsverkehr der Bundesversammlung sowie über die Form, die Bekanntmachung und das Inkrafttreten ihrer Erlasse/GVG; SR 171.11) aufgehoben worden sei, da er sich mit dessen Bestimmungen, insbesondere mit Art. 5 GVG , nicht vereinbaren lasse. Diese Frage ist zu verneinen. Zwar trifft zu, dass Art. 5 GVG die Form des Bundesgesetzes unter anderem für Normen vorschreibt, die die Zuständigkeit und die Aufgaben der Behörden regeln. Das Geschäftsverkehrsgesetz von 1962 ist jedoch ausschliesslich auf BGE 112 Ib 280 S. 289 Erlasse anwendbar, die nach seinem Inkrafttreten ergingen. Durch die Schlussbestimmungen sind einzig das vorangegangene Bundesgesetz und einige Artikel des Bundesgesetzes über das Verfahren bei Volksbegehren und Abstimmungen betreffend die Revision der Bundesverfassung aufgehoben worden (vgl. Art. 71 der heutigen Fassung); dagegen wurde an jene Erlasse, die von der Form oder ihrem Zustandekommen her den neuen Vorschriften nicht mehr entsprachen, nicht gerührt. Dass dem geltenden Geschäftsverkehrsgesetz keine Rückwirkung zukommt, ergibt sich ebenfalls daraus, dass eine Übergangsbestimmung nur für die Fristen für noch hängige Volksbegehren getroffen worden ist (Art. 72 der heutigen Fassung). Übrigens hebt auch die Bundesversammlung die unter der Herrschaft des alten Geschäftsverkehrsgesetzes in die Form des allgemein verbindlichen Bundesbeschlusses gekleideten Erlasse durch Akte gleicher Form auf, selbst wenn der neue Erlass nach dem revidierten GVG als einfacher Bundesbeschluss ergehen kann (vgl. VEB 1962 Nrn. 13 und 14; AUBERT, Traité de droit constitutionnel suisse, Bd. II S. 478 Ziff. 1314). Im weiteren ist der Beschluss der Bundesversammlung über die Verwaltung der schweizerischen Armee (nunmehr "Bundesbeschluss über die Verwaltung der schweizerischen Armee", vgl. BBl 1985 II S. 1237, Amtl.Bull. NR 1986 S. 493, StR 1986 S. 214) seit Inkrafttreten des heutigen Geschäftsverkehrsgesetzes verschiedene Male abgeändert worden, ohne dass es der Gesetzgeber je als notwendig erachtet hätte, die Bestimmung von Art. 98 aufzuheben. Steht demnach Art. 98 BBVers VA auch heute noch in Kraft, so stellt sich die schon in BGE 109 Ib 134 aufgeworfene Frage, ob das Bundesgericht aufgrund von Art. 113 Abs. 3 BV an nicht referendumspflichtige Beschlüsse der Bundesversammlung gebunden und daher jede weitere Kontrolle ausgeschlossen sei, oder ob - wie die Beschwerdeführer behaupten - solche Beschlüsse gleich wie Rechtsverordnungen des Bundesrates auf ihre Rechtsbeständigkeit hin überprüft werden könnten. Träfe letzteres zu, so wäre in Bestätigung der in BGE 109 Ib 134 E. 2d angestellten Überlegungen die formelle Gesetzmässigkeit von Art. 98 BBVers VA erneut zu bejahen. Es steht ausser Zweifel, dass für die blosse Delegation der Befugnis zur Ausübung des dem Bund zustehenden Enteignungsrechts vom Bundesrat an eine andere Bundesbehörde ( Art. 3 Abs. 1 EntG ) keine höheren Anforderungen an die Form gestellt werden können, als sie das Enteignungsgesetz selbst, das seinerzeit dem BGE 112 Ib 280 S. 290 Referendum unterstand, für die Übertragung des Enteignungsrechts an Dritte vorsieht. Nun hält das Gesetz in diesem Zusammenhang ausdrücklich die "Werke, die im Interesse der Eidgenossenschaft oder eines grossen Teiles des Landes liegen" (Art. 3 Abs. 2 lit. a) und "andere im öffentlichen Interesse liegende Zwecke" (Art. 3 Abs. 2 lit. b) auseinander und bestimmt, dass für die ersten nur ein (nicht referendumspflichtiger) Bundesbeschluss genüge, während für die zweiten ein dem Referendum unterstehendes Bundesgesetz erforderlich sei. Damit hat der Gesetzgeber die bereits in Art. 1 Abs. 1 EntG getroffene Unterscheidung übernommen, die darauf zurückzuführen ist, dass bei der Schaffung des Enteignungsgesetzes allein für die Expropriation zugunsten von Werken "im Interesse der Eidgenossenschaft oder eines grossen Teils derselben" eine verfassungsmässige Grundlage ( Art. 23 BV ) bestand, und der Gesetzgeber Enteignungen für andere öffentliche Zwecke nur zulassen wollte, soweit sie sich auf ein Bundesgesetz stützen liessen (FRITZ HESS, Das Enteignungsrecht des Bundes, N. 1 zu Art. 23 BV , N. 2 und 3 zu Art. 1 EntG , N. 7-14 zu Art. 3 EntG ). Da militärische Anlagen zur Kategorie der Werke im Interesse der Eidgenossenschaft zählen, muss somit für die Ermächtigung des Departementes, das Enteignungsrecht anstelle des Bundesrates auszuüben, ebenfalls ein einfacher, dem Referendum entzogener Bundesbeschluss genügen. Gegen diese Argumentation wenden die Beschwerdeführer ein, bei der Übertragung des Enteignungsrechts an einen Dritten im Sinne von Art. 3 Abs. 2 lit. a EntG gehe es nur darum, den Dritten in einem Einzelfall zur Enteignung für ein bestimmtes Werk zu ermächtigen, und handle es sich nicht um die generelle Einräumung des ius expropriandi. Das trifft jedoch nicht zu. Stehen Werke im Interesse der Eidgenossenschaft oder eines grossen Teils derselben in Frage, so kann mit einem einfachen, nicht referendumspflichtigen Bundesbeschluss dem Dritten das Enteignungsrecht sowohl für ein bestimmtes Einzelwerk als auch ganz allgemein übertragen werden. Das ergibt sich klar aus den Bestimmungen von Art. 2 und Art. 3 Abs. 2 lit. a EntG und deren Entstehungsgeschichte: Der Gesetzesentwurf vom Oktober 1916 sah ausdrücklich vor, dass das Enteignungsrecht "von der Bundesverwaltung oder von Dritten gestützt auf eine allgemein oder nur für den Einzelfall gültige Ermächtigung ausgeübt" werden könne; diese Ermächtigung werde - falls der Bund das öffentliche Werk nicht selbst errichtet - durch Bundesbeschluss für BGE 112 Ib 280 S. 291 andere, dem öffentlichen Interesse der Eidgenossenschaft oder eines grossen Teiles derselben dienende Werke oder durch Bundesgesetz für sonstige, im öffentlichen Interesse des Bundes liegende Zwecke erteilt (Art. 1 Abs. 1 und Abs. 2 lit. b und c des Entwurfes). Im ergänzenden Bericht zu diesem Vorentwurf hielt der Verfasser, Bundesrichter Jaeger, auf die von der Berner-Alpenbahn-Gesellschaft aufgeworfene Frage, wann die Erteilung des Expropriationsrechts eine "allgemeine" und wann eine "nur für den Einzelfall gültige" sei, folgendes fest (Ergänzender Bericht zum Entwurf eines Bundesgesetzes über die Zwangsenteignung, S. 2 f.): "Ob nun die zur Ermächtigung überhaupt zuständige Stelle die einte oder andere Art der Erklärung wählen will, ist doch eine reine Ermessensfrage, die von der - im Gesetze gar nicht vorauszusehenden - Gestaltung der einzelnen tatsächlichen Verhältnisse abhängt. Es ist nicht zutreffend, wie die Lötschbergbahn annimmt, dass nach dem Entwurf eine allgemeine Ermächtigung lediglich auf dem Wege der Bundesgesetzgebung erteilt werden könne. Da die Berechtigung zur Ausübung der Enteignung für öffentliche Werke des Bundes bereits in Art. 23 der Verfassung generell ausgesprochen worden ist, so kann auch durch einfachen Bundesbeschluss für eine ganze Kategorie von Werken, die unter diesen Begriff fallen, ein für allemal das Enteignungsrecht verliehen werden, wie dies z.B. seinerzeit für die von den Gemeinden zu errichtenden Schiessplätze geschehen ist. Die Form der Bundesgesetzgebung wird bewusst vom Entwurf nur als Minimalgarantie für die Erteilung des Rechts zur Enteignung zu andern öffentlichen Zwecken (also nicht zu öffentlichen Werken des Bundes) verlangt." In der Folge wurde der in Art. 1 des Entwurfes enthaltene Passus "allgemein oder nur für den Einzelfall gültige" (Ermächtigung) als überflüssig gestrichen (Protokoll der Expertenkommission vom 15. Oktober 1917), die Vorschrift über die Übertragung des Enteignungsrechts an Dritte redaktionell bereinigt und in Art. 3 des endgültigen Entwurfes verwiesen, am Sinn der Bestimmung jedoch nichts geändert (vgl. die bundesrätliche Botschaft zum Entwurfe eines Bundesgesetzes über die Enteignung vom 21. Juni 1926, BBl 1926 II S. 10 f., 114). National- und Ständerat stimmten ihr diskussionslos zu (Sten.Bull. NR 1928 S. 612, StR 1929 S. 143). Dementsprechend wird in der bisherigen Lehre (FRITZ HESS, a.a.O. N. 7, 13 und 14 zu Art. 3 EntG ), in der Praxis der Verwaltungsbehörden (VEB 24/1954 Nr. 154 S. 296) und in weiteren Entscheiden des Bundesgerichtes ( BGE 105 Ib 198 , BGE 104 Ib 31 E. 3a) davon ausgegangen, dass zur Verleihung des Enteignungsrechtes an Dritte für die in Art. 3 Abs. 2 lit. a EntG genannten Werke in jedem Falle ein Bundesbeschluss genüge. BGE 112 Ib 280 S. 292 Allerdings wird im unlängst erschienenen neuen Kommentar zum Enteignungsrecht (HEINZ HESS/HEINRICH WEIBEL, Das Enteignungsrecht des Bundes, 1986) die gegenteilige Auffassung vertreten und zu Art. 3 Abs. 2 EntG ausgeführt, "dass nach Bst. a Einzelfälle in Form individuell-konkreter Erlasse gemeint sind, während es sich nach Bst. b um allgemeine Übertragungen in Form generell-abstrakter Erlasse handelt" (Bd. I S. 66 N. 30 zu Art. 3 EntG ). Diese Meinung findet jedoch, wie dargelegt, weder im Gesetzeswortlaut noch in den Gesetzesmaterialien eine Stütze und steht mit der bisherigen Doktrin und Rechtsprechung, mit der sich der Kommentar nicht auseinandersetzt, in Widerspruch. Übrigens kann auch der Ansicht nicht beigepflichtet werden, zur Übertragung der Enteignungsbefugnis vom Bundesrat auf eine andere Amtsstelle sei sogar ein Erlass der Verordnungsstufe ausreichend, da in Art. 3 Abs. 1 EntG von "Gesetzgebung" die Rede sei und unter diesen Begriff sämtliche generell-abstrakten Normen fielen (a.a.O. Bd. II S. 188 f. N. 47 zu Art. 98 BBVers VA). Diesem Schluss steht der bereits erwähnte Art. 5 GVG entgegen, nach welchem Bestimmungen, die die Zuständigkeit und Aufgaben der Behörden regeln, in die Form des Bundesgesetzes zu kleiden sind. Einzig aus der vom Bundesgesetzgeber in Art. 3 Abs. 2 lit. a und b EntG getroffenen unterschiedlichen Regelung lässt sich folgern, dass es für eine Delegation im Sinne von Art. 3 Abs. 1 nicht in jedem Falle eines formellen Bundesgesetzes bedürfe.</w:t>
      </w:r>
    </w:p>
    <w:p>
      <w:r>
        <w:rPr>
          <w:b/>
        </w:rPr>
        <w:t>E. 7</w:t>
      </w:r>
    </w:p>
    <w:p>
      <w:r>
        <w:t>In ihrer gemeinsamen Rechtsschrift anerkennen die Beschwerdeführer, dass sich das Bundesgericht in seinem Entscheid vom 3. Juli 1985 auf Zwischenverfügung des Departementes hin über die Zuständigkeit des EMD zur Behandlung der Einsprachen und über dessen Ausstandspflicht rechtskräftig ausgesprochen hat. Die Rechtskraft erstreckt sich aber entgegen der Annahme der Beschwerdeführer nicht nur auf die Beurteilung der damals aufgeworfenen Fragen nach Landesrecht, sondern umfasst auch den Entscheid über die Vereinbarkeit der Departementsverfügung mit Art. 6 Abs. 1 EMRK . Soweit diese Frage in der vorliegenden Verwaltungsgerichtsbeschwerde von neuem aufgegriffen wird, kann darauf nicht eingetreten werden.</w:t>
      </w:r>
    </w:p>
    <w:p>
      <w:r>
        <w:rPr>
          <w:b/>
        </w:rPr>
        <w:t>E. 8</w:t>
      </w:r>
    </w:p>
    <w:p>
      <w:r>
        <w:t>a) Vor dem Ausbau der eidgenössischen Verwaltungsgerichtsbarkeit im Jahre 1969 oblag der Entscheid über die Einsprachen in allen Enteignungsfällen dem Bundesrat, unabhängig davon, ob das Enteignungsverfahren durch den Bundesrat, durch BGE 112 Ib 280 S. 293 eine andere Amtsstelle oder durch ein ausserhalb der Bundesverwaltung stehendes, mit dem Enteignungsrecht ausgestattetes oder noch auszustattendes Unternehmen veranlasst wurde. Dass der Bundesrat allenfalls selbst beschlossen hatte, das Enteignungsrecht in Anspruch zu nehmen in der vorläufigen Annahme, die Enteignung sei rechtmässig, hinderte ihn also nicht, im Einspracheverfahren auf seinen provisorischen, nur der Verfahrenseröffnung dienenden Entscheid zurückzukommen und unter Umständen das Vorliegen der Voraussetzungen für eine Enteignung zu verneinen. Im bundesrätlichen Entwurf für die Änderung des Bundesgesetzes über die Organisation der Bundesrechtspflege wurde denn auch zunächst in Art. 99 lit. i die Verwaltungsgerichtsbeschwerde gegen Verfügungen auf dem Gebiete der Enteignung als unzulässig erklärt, unter Vorbehalt der Weiterziehung von Verfügungen der Schätzungskommission nach Art. 77 ff. EntG (BBl 1965 II S. 1335). Der Bundesrat führte in seiner Botschaft zugunsten des bestehenden Rechtszustandes aus, beim Erlass von Verfügungen in Enteignungssachen, so etwa bei der Erteilung des Enteignungsrechts, stehe den Behörden ein sehr weiter Handlungs- und Beurteilungsspielraum zu; aus diesem Grunde eigneten sich solche Verfügungen nicht für eine verwaltungsgerichtliche Überprüfung. Über unerledigte Einsprachen gegen die Enteignung solle daher weiterhin der Bundesrat entscheiden (a.a.O. S. 1310). Das Parlament folgte in diesem Punkte dem Bundesrat nicht. Der auf Anregung der nationalrätlichen Kommission neu entworfene Art. 98bis OG hielt abweichend vom bundesrätlichen Vorschlag fest, dass die Verwaltungsgerichtsbeschwerde gegen die Genehmigung oder die Verweigerung der Genehmigung von Plänen und gegen den Erlass von rechtsgestaltenden Plänen ausgeschlossen sein soll, "soweit es sich nicht um Verfügungen auf dem Gebiet der Enteignung oder Landumlegung handelt". Trotz der von Bundesrat von Moos vorgetragenen Bedenken nahmen beide Kammern diese Bestimmung diskussionslos an, welche im Hinblick auf die Terminologie des in Überarbeitung stehenden Enteignungsgesetzes redaktionell bereinigt und schliesslich als Art. 99 lit. c OG in Kraft gesetzt wurde (vgl. Amtl.Bull. NR 1967 S. 25 Votum Tschäppät, S. 30 Votum von Moos, S. 35; StR 1968 S. 202 Votum Leu, S. 349 f.). Nachträglich passte der Gesetzgeber Art. 55 EntG noch rein formell an die neue Rechtslage an (vgl. BBl 1970 I S. 1016 f.; BGE 111 Ib 230 ). Mit der Vorschrift von Art. 99 lit. c OG war nun verwirklicht worden, was der Bundesrat schon 1926 BGE 112 Ib 280 S. 294 in seiner Botschaft zum Enteignungsgesetz für die Zukunft in Betracht gezogen hatte, als er erklärte: "Es wird nicht ausgeschlossen sein, solche Entscheide [...] seinerzeit der Überprüfung des Verwaltungsgerichts zu unterstellen, um dem Bürger die Möglichkeit zu geben, auch die Frage gerichtlich entscheiden zu lassen, ob der Bund das Enteignungsrecht berechtigterweise für ein eigenes Werk in Anspruch nehme, für das die Verfassung es ihm geben wollte" (BBl 1926 II S. 10). Andererseits ist damit die Enteignungsgesetzgebung verfahrensrechtlich auf den Stand gebracht worden, den die (damals für die Schweiz noch nicht in Kraft getretene) Bestimmung von Art. 6 Abs. 1 EMRK erheischt, welche nach der Praxis des Europäischen Gerichtshofes dem Enteigneten nicht nur im Entschädigungs-, sondern auch im Einspracheverfahren Anspruch auf einen Richter gibt (vgl. BGE 111 Ib 231 /32 E. 2e). Dieser Blick auf die gesetzgeberischen Arbeiten bestätigt die vom Bundesgericht schon in BGE 98 Ib 421 und BGE 111 Ib 231 getroffene Feststellung, dass der Entscheid der im Einzelfall zuständigen Behörde, den Enteignungsweg zu beschreiten, nur ein prima-facie-Entscheid sein kann, der mit dem Vorbehalt verbunden ist, dass der Einspracheentscheid für den Enteigner günstig laute, und der diesen grundsätzlich nicht präjudizieren kann. Dass der Rechtsmittelweg im revidierten OG neu geregelt worden ist, hat hieran nichts geändert. Eine andere Auslegung würde zur Folge haben, dass das Einspracheverfahren sinnlos und in Verletzung der verfassungsmässigen und gesetzlichen Verfahrensgarantien zur Enteignung geschritten würde, ohne dass die Betroffenen Gelegenheit erhielten, sich gegen den Eingriff zur Wehr zu setzen. Nun wird indessen im zitierten neuen Kommentar HESS/WEIBEL die Meinung vertreten, in bestimmten Fällen bestehe wegen vorausgegangener Erlasse oder anderer Rechtsakte übergeordneter politischer Behörden von Anbeginn an die Gewissheit über das öffentliche Interesse am geplanten Werk ("praesumptio iuris et de iure"); Einsprachen, die dieses Interesse in Frage stellten, müssten von vornherein abgewiesen werden. Das treffe immer dann zu, wenn der Bundesrat selbst in Anwendung von Art. 3 Abs. 1 EntG die Eröffnung eines Enteignungsverfahrens beschlossen habe oder wenn ein solches von einem Departement angeordnet worden sei, nachdem die Bundesversammlung den entsprechenden Verpflichtungskredit beschlossen habe. Das Bundesgericht sollte beim Weiterzug von Einspracheentscheiden der Fachdepartemente der Gewaltentrennung wegen davon Abstand nehmen, die Beschlüsse des BGE 112 Ib 280 S. 295 Bundesrates im Sinne von Art. 3 Abs. 1 EntG bezüglich des öffentlichen Interesses am Werk zu überprüfen, weil es sich bei ihnen nicht um blosse Verwaltungsverfügungen und nicht um Rechtsverordnungen handle, sondern um die Ausübung von Hoheitsrechten durch den Bund (a.a.O. Bd. I N. 13, 37, 40 und 42 zu Art. 1 EntG , N. 23, 25 und 26 zu Art. 3 EntG , Bd. II S. 461 N. 19 zu Art. 15 NHG ). Diesen Ausführungen kann aus den schon angegebenen Gründen - Unwirksamwerden des im Gesetz vorgesehenen Einspracheverfahrens, Unvereinbarkeit mit den Prinzipien der Rechtsstaatlichkeit und mit den Anforderungen der Europäischen Menschenrechtskonvention - nicht zugestimmt werden. Übrigens kann aus dem Umstand, dass bei der Teilrevision des Enteignungsgesetzes im Jahre 1971 die Befugnis zur Inanspruchnahme des Enteignungsrechtes beim Bundesrat belassen wurde, nichts zugunsten der dargestellten Meinung abgeleitet werden. Aus dem im Kommentar angeführten Passus der bundesrätlichen Botschaft zur Revision des EntG (Bd. I S. 40 N. 40 zu Art. 1 EntG ; BBl 1970 I S. 1018) ergibt sich vielmehr, dass die in Art. 3 Abs. 1 EntG vorgesehene Kompetenzordnung beibehalten und auf die Einführung der Verwaltungsgerichtsbeschwerde verzichtet wurde, weil im Falle der Geltendmachung des Enteignungsrechtes dem Betroffenen ja die Einsprache offenstehe, um seine Rechte zu wahren - also ein Hinweis mehr auf den rein vorläufigen Charakter des Beschlusses im Sinne von Art. 3 Abs. 1 EntG . b) Die im Einspracheverfahren zu beantwortende Frage, welche der einander gegenüberstehenden öffentlichen und privaten Interessen oder der im Widerstreit liegenden öffentlichen Interessen überwögen, ist eine Rechtsfrage, die das Bundesgericht frei prüft. Das Gericht auferlegt sich jedoch eine gewisse Zurückhaltung, wenn sich technische Probleme stellen und die Einsprachebehörde gestützt auf die Berichte der ihr vom Gesetzgeber beigegebenen Fachinstanzen entschieden hat, wenn örtliche Verhältnisse zu würdigen sind, sofern die Vorinstanz diese besser kennt als das Bundesgericht, oder wenn sich andere Fragen im Grenzbereich zwischen Recht und Ermessen stellen ( BGE 109 Ib 300 , 108 Ib 181, BGE 98 Ib 217 , 421 f.). Voraussetzung für diese Zurückhaltung ist allerdings, dass im konkreten Fall keine Anhaltspunkte für eine unrichtige oder unvollständige Feststellung des Sachverhaltes vorliegen und davon ausgegangen werden darf, dass die Vorinstanz die für den Entscheid wesentlichen Gesichtspunkte geprüft und die erforderlichen Abklärungen sorgfältig und umfassend vorgenommen BGE 112 Ib 280 S. 296 hat ( BGE 109 Ib 80 E. 3a, BGE 98 Ib 217 E. 2c; GYGI, Bundesverwaltungsrechtspflege, 2. A. S. 308; GRISEL, Traité de droit administratif, Bd. I, S. 344). Was Vorentscheide und Stellungnahmen anderer Behörden zum umstrittenen Werk anbelangt, so ist ihnen - ohne dass sie das Bundesgericht binden würden - im Rahmen der Interessenabwägung gebührend Rechnung zu tragen, insbesondere wenn die Realisierung eines Projektes notwendigerweise in Etappen vor sich gehen muss und ein Zusammenwirken von Bundes- und kantonalen Behörden oder zumindest gegenseitige Absprachen verlangt. Die Rücksichtnahme auf Beschlüsse und Vereinbarungen, die nur unter dem Vorbehalt des Einspracheentscheides ergehen konnten, darf indessen nicht so weit gehen, dass im Ergebnis die Privaten ihres Rechtsschutzes und die vom Gesetzgeber mit der Wahrung öffentlicher Interessen betrauten Vereinigungen ihrer Interventionsmöglichkeit verlustig gingen. c) Zu den Vorarbeiten und Vorentscheiden, die hier bei der Interessenabwägung zu berücksichtigen sind, gehören unter anderem der Bericht der Planungskommission von 1974, in welchem verschiedene Varianten geprüft worden sind, sowie die Vereinbarung des Bundes mit den Kantonen Schwyz und Zug aus dem Jahre 1978. Sie können allerdings aus dem erwähnten Grunde nicht entscheidbestimmend sein. Hinzu kommt, dass sich hinsichtlich des Landschafts- und Naturschutzes insofern eine neue Situation ergeben hat, als 1979 die Talebene zwischen Rothenthurm und Biberbrugg in das KLN-Inventar aufgenommen worden ist und seit 1983 grössere Teile des umstrittenen Gebietes zu den Objekten 1307 und 1308 des Bundesinventars der Landschaften und Naturdenkmäler von nationaler Bedeutung gehören (vgl. den Anhang zur Verordnung über das Bundesinventar der Landschafts- und Naturdenkmäler vom 10. August 1977/19. Dezember 1983; SR 451.11). Dieser Anerkennung der Schutzwürdigkeit der fraglichen Region muss ebenfalls Rechnung getragen werden. Was die Abgrenzung der heutigen Schutzgebiete gemäss BLN-Inventar anbelangt, welche im Gegensatz zu jenen des KLN-Inventars das Kasernenareal und rund zwei Drittel des Zielhanges nicht mehr umfassen (vgl. oben Sachverhalt lit. B), so ist diese vom Bundesrat aufgrund seiner ihm in Art. 5 NHG zugewiesenen Kompetenz getroffen worden. Da Bundesratsentscheide der verwaltungsgerichtlichen Überprüfung entzogen sind, soweit das Gesetz nichts anderes bestimmt, fällt eine "Korrektur" der Grenzziehung - wie sie die Beschwerdeführer anregen - ausser Betracht. Es trifft wohl BGE 112 Ib 280 S. 297 zu, dass bei der Abgrenzung insbesondere des Objektes 1308 auf das Waffenplatzprojekt Rücksicht genommen worden ist. Das bedeutet jedoch nur, dass der Bundesrat bereits in diesem Rahmen eine Interessenabwägung vorgenommen hat, an deren Ergebnis das Bundesgericht gebunden ist, insofern damit das Schutzgebiet selbst umschrieben worden ist. Die durch die Verfassung (Art. 24sexies) gebotene Rücksichtspflicht gegenüber Landschaft und Natur beschränkt sich aber, wie im Vorwort des Vorstehers des Eidgenössischen Departementes des Innern zum BLN-Inventar hervorgehoben wird, nicht nur auf die ausdrücklich inventarisierten Objekte. Eine besondere Beachtung der Aspekte des Landschaftsschutzes und der Anliegen der Naturerhaltung drängt sich vor allem auch dort auf, wo es wie hier um Gebiete geht, die an Objekte von nationaler Bedeutung angrenzen und deren Beeinträchtigung sich unmittelbar oder mittelbar auf diese auswirken könnte (vgl. BGE 108 Ib 368 E. 6a).</w:t>
      </w:r>
    </w:p>
    <w:p>
      <w:r>
        <w:rPr>
          <w:b/>
        </w:rPr>
        <w:t>E. 9</w:t>
      </w:r>
    </w:p>
    <w:p>
      <w:r>
        <w:t>Mit den dem Rückweisungsbegehren zugrundeliegenden Rügen der Rechtsverweigerung machen die Beschwerdeführer im wesentlichen geltend, das EMD habe es unterlassen, den Sachverhalt sorgfältig und vollständig abzuklären und die für den Entscheid notwendigen Erhebungen, die für eine Bejahung des öffentlichen Interesses am Werk vorausgesetzt werden müssten, in einem unter Wahrung des rechtlichen Gehörs durchgeführten Instruktionsverfahren vorzunehmen. a) (In E. 4c des Entscheides vom 3. Juni 1983 - BGE 109 Ib 137 - ist nur geprüft worden, ob die in Art. 27 und 30 EntG an die Planauflage gestellten Anforderungen erfüllt worden seien, und nicht, ob im anschliessenden Einspracheverfahren die Sache genügend instruiert worden sei.) In diesem Zusammenhang ist zu unterstreichen, dass die Tatsache, dass die Einsprachebehörde selbst Projektverfasserin und Bauherrin ist, keinen Einfluss auf die Art und Weise der Instruktion der Einsprachen und die Beteiligung der Parteien am Verfahren haben kann und darf. Insbesondere ist darauf zu achten, dass die Einspracheinstanz nicht aufgrund von Fakten entscheidet, die ihr als Projektverfasserin bekannt, den Einsprechern aber nie zur Kenntnis gegeben worden sind. Das Einspracheverfahren darf insgesamt nicht anders gestaltet werden, als wenn ein Departement über das Projekt einer relativ autonomen Anstalt der Bundesverwaltung (z.B. SBB) oder eines ausserhalb der Verwaltung stehenden Unternehmens (z.B. Elektrizitätswerk) zu entscheiden hat. BGE 112 Ib 280 S. 298 b) Bei der Prüfung, ob der Sachverhalt für eine sorgfältige Abklärung der für und gegen das Werk sprechenden Interessen genügend bekannt sei oder ab - unter Wahrung der Parteirechte der Einsprecher - noch zusätzliche Erhebungen angestellt werden müssten, ist auf die verschiedenen Interessen im einzelnen einzugehen und im Hinblick auf deren Bedeutung für den Entscheid zu untersuchen, ob die wesentlichen Gesichtspunkte bekannt seien und eine Beurteilung bereits zuliessen. Das heisst, dass über den Vorwurf der formellen Rechtsverweigerung nicht völlig losgelöst von materiellen Fragen entschieden werden kann.</w:t>
      </w:r>
    </w:p>
    <w:p>
      <w:r>
        <w:rPr>
          <w:b/>
        </w:rPr>
        <w:t>E. 10</w:t>
      </w:r>
    </w:p>
    <w:p>
      <w:r>
        <w:t>Diese Prüfung ergibt, dass die Rügen der Beschwerdeführer in folgenden Punkten als unbegründet abzuweisen sind: a) Die vom konkreten Projekt unabhängige prinzipielle Frage nach der Notwendigkeit eines neuen Waffenplatzes ist nach eingehenden Abklärungen bejaht worden und wird von den Einsprechern grundlos wieder aufgeworfen. Es genügt, in diesem Zusammenhang darauf hinzuweisen, dass das Bedürfnis nach einer zusätzlichen Kaserne mit Ausbildungsplätzen von den zuständigen militärischen Instanzen und der Planungskommission festgehalten, von den kantonalen Behörden bestätigt, vom Bundesrat in verschiedenen Berichten und Botschaften unterstrichen und schliesslich auch vom Parlament anerkannt worden ist. Das Bundesgericht hat darauf schon in seinen Entscheiden vom 30. Mai 1984 (betreffend die Rodungsbewilligung) und vom 26. September 1984 (betreffend die Befreiung von der Baubewilligungspflicht) hingewiesen. Auf den Antrag der Beschwerdeführer, es sei zu untersuchen, ob das angebliche Bedürfnis nach einem weiteren Waffenplatz nicht durch vermehrte Belegung der bestehenden Plätze und entsprechende Rationalisierungsmassnahmen gedeckt werden könnte, ist nicht einzugehen. Wie das EMD zu Recht ausführt, ist einerseits dem seit bald zwanzig Jahren bestehenden Missstand abzuhelfen, der in der provisorischen Unterbringung der Rekrutenschule an drei verschiedenen Orten und im Fehlen von Ausbildungsanlagen und -plätzen liegt. Andererseits können die bestehenden Waffenplätze nicht ohne nachteilige Folgen für die Anwohner stärker ausgelastet werden. Ausserdem sind die je nach Truppengattung unterschiedlichen Bedürfnisse zu berücksichtigen. Im übrigen hat das Bundesgericht keinen Anlass, daran zu zweifeln, dass bei der Dimensionierung des Projektes der zu erwartenden Abnahme der Rekrutenbestände Rechnung getragen worden ist. BGE 112 Ib 280 S. 299 b) Ausser Frage steht im weiteren, dass das von den Beschwerdeführern geltend gemachte Interesse an der ungeschmälerten Erhaltung ihrer Landwirtschaftsbetriebe - so wichtig dieses an sich auch ist - vor der Notwendigkeit der Schaffung eines Waffenplatzes zurückzuweichen hat, kann doch kein Waffenplatz erstellt werden, ohne landwirtschaftlich nutzbares Land in Anspruch zu nehmen, und haben bei einer Verlegung des Platzes lediglich andere Bauern das Opfer zu erbringen. Übrigens geht aus den Akten hervor, dass die Eidgenossenschaft vorgesorgt hat, um bei einer Verwirklichung des Projektes am vorgesehenen Orte allfälligen auf Art. 18 EntG gestützten Realersatzbegehren - die von der Eidgenössischen Schätzungskommission zu behandeln sind ( Art. 64 Abs. 1 lit. a EntG ; vgl. BGE 105 Ib 90 ff.) - entsprechen zu können. Ausdrückliche Begehren um Erhaltung von Kulturland im Sinne von Art. 8 EntG , über die die Einspracheinstanz zu befinden hätte (sofern solche auch im Falle von Enteignungen durch den Bund erhoben werden können), haben die Beschwerdeführer nicht gestellt, so dass nicht näher auf diesen Punkt einzugehen ist. Damit ist allerdings noch nichts zur Frage gesagt, welches Gewicht den landwirtschaftlichen Interessen im Vergleich zu ihnen gegenüberstehenden Anliegen des Natur- und Landschaftsschutzes beizulegen sei und welche dieser Interessen im konkreten Falle bei der Alternativmöglichkeit, den Waffenplatz entweder im Naturschutz- oder im landwirtschaftlich intensiver nutzbaren Gebiet zu erstellen, hintanzutreten haben. Fest steht nur, dass der Vorwurf, die landwirtschaftlichen Interessen seien unberücksichtigt geblieben, in materieller und formeller Hinsicht unberechtigt ist. c-d) (Keine zusätzlichen Abklärungen nötig hinsichtlich der Auswirkungen des Waffenplatzes auf den Tourismus, insbesondere auf den Langlaufbetrieb, sowie hinsichtlich der Waldbrandgefahr und der Gefährdung des Moorbodens durch giftige Munitionsrückstände.)</w:t>
      </w:r>
    </w:p>
    <w:p>
      <w:r>
        <w:rPr>
          <w:b/>
        </w:rPr>
        <w:t>E. 11</w:t>
      </w:r>
    </w:p>
    <w:p>
      <w:r>
        <w:t>Besondere Aufmerksamkeit ist der Frage zu schenken, ob die Enteignung nicht - jedenfalls für gewisse Teilflächen - eingeschränkt werden und sich die Enteignerin mit Dienstbarkeitsrechten statt des Eigentums begnügen könnte. Dieses Ansinnen hat das EMD ohne nähere Begründung in allen Fällen, auch gegenüber der Korporation Oberägeri, abgelehnt. Der Erwerb blosser Servitute fällt für den Boden, auf dem Gebäude oder Anlagen errichtet werden sollen, ausser Betracht. BGE 112 Ib 280 S. 300 Die Eidgenossenschaft müsste sich für diese Teile des Waffenplatzes Baurechte einräumen lassen, die im einzelnen zu umschreiben wären und als selbständige Rechte höchstens auf hundert Jahre begründet werden könnten ( Art. 779l Abs. 1 ZGB ), so dass nach Ablauf der festgesetzten Dauer erneut Verhandlungen aufzunehmen wären und allenfalls ein weiteres Mal zur Enteignung geschritten werden müsste (vgl. BGE 99 Ia 478 ff.). Eine Übertragung von blossen Servituten könnte dagegen für jene Teile des Übungsgeländes in Erwägung gezogen werden, wo keine Anlagen vorgesehen sind und die in gewissem Umfang weiterhin landwirtschaftlich bewirtschaftet werden sollen; den Eigentümern dieses Bodens dürfte allenfalls ein schutzwürdiges Interesse an der Restnutzungsmöglichkeit, das über das reine Interesse an der "nuda proprietas" hinausgeht, zuerkannt werden. Andererseits lässt sich wohl auch für diese Teile die Inanspruchnahme des vollen Eigentums rechtfertigen: Ein Waffenplatz bildet ein Ganzes, das nach einer einheitlichen Rechtsgrundlage verlangt und dessen Aufteilung in verschiedene Sektoren zu Umtrieben sowie zusätzlichen Sicherheitsproblemen führen und Anpassungen an künftige Entwicklungen auf dem Waffen- und Ausbildungsbereich erschweren oder verunmöglichen könnte. Es ist nicht zu übersehen, dass bei solchen Anlagen die militärische Nutzung im Vordergrund steht und sich landwirtschaftliche oder andere Bewirtschaftungen dieser unterzuordnen haben, so dass die Restnutzungen wohl mit Vorteil im Rahmen von Pachtverträgen sicherzustellen sind. Ein endgültiger Entscheid wäre indessen in diesem Punkte verfrüht. Wie aus den vom EMD nachträglich zu den Akten gegebenen Unterlagen hervorgeht (Entwurf einer Zusatzvereinbarung zwischen den Kantonen Schwyz und Zug und der Eidgenossenschaft vom 8. Oktober 1985 samt Detailplan Nr. 783/B vom 21.6.1985), sollen im "Aufklärungsgelände" zum Schutze des Hochmoores fünf teils grossflächige Sperrzonen geschaffen werden, in denen militärische Übungen völlig untersagt und die, sofern erforderlich, durch Abschrankungen zu schützen sind. Diese Sperrgebiete können somit - falls das "Aufklärungsgelände" wie geplant verwirklicht wird - nur die Funktion einer Sicherheitszone übernehmen und werden aller Wahrscheinlichkeit nach auch in fernerer Zukunft nicht für militärische Zwecke zu gebrauchen sein. Dass das "Aufklärungsgelände" durch solche Schutzmassnahmen stark an Wert für die militärische Ausbildung einbüsst, hat der frühere Vorsteher des EMD in den parlamentarischen Beratungen selbst eingeräumt ("Les BGE 112 Ib 280 S. 301 importantes restrictions d'usage que nous nous sommes imposées sur le site du Hochmoor diminuent sans doute - on l'a dit et il faut le reconnaître - fortement l'utilité militaire de ce terrain dit d'exploration." Amtl.Bull. NR 1983 S. 1279) und im selben Zusammenhang erklärt, es sei durchaus möglich, für bestimmte Flächen Benützungsverträge abzuschliessen statt zu enteignen ("Il est possible de définir, pour certains secteurs [...] en lieu et place de l'expropriation, des conventions d'utilisation." a.a.O.). Schliesslich haben sowohl der Nationalrat wie auch der Ständerat mit dem Einverständnis von Bundesrat Chevallaz ihre Zustimmung zum Verpflichtungskredit unter anderem davon abhängig gemacht, dass geprüft werde, ob nicht anstelle von Kauf und Enteignung langjährige Benützungsverträge abgeschlossen werden könnten (vgl. Amtl.Bull. StR 1983 S. 307 f. Votum Berichterstatter Baumberger, Amtl.Bull. NR 1983 S. 1284 Voten Berichterstatter Wellauer und Jeanneret sowie Bundesrat Chevallaz; s.o. Sachverhalt lit. D). Im Rahmen des Einspracheverfahrens sind keine Angaben darüber gemacht worden, inwieweit dieser Auflage nachgekommen worden ist. Unter all diesen Umständen enthält sich das Bundesgericht, da die Sache - wie sich im folgenden zeigt - ohnehin an die Einsprachebehörde zurückgewiesen werden muss, eines definitiven Entscheides und überlässt es dem Departement, die hier behandelte Frage des Umfangs der Enteignung erneut zu untersuchen.</w:t>
      </w:r>
    </w:p>
    <w:p>
      <w:r>
        <w:rPr>
          <w:b/>
        </w:rPr>
        <w:t>E. 12</w:t>
      </w:r>
    </w:p>
    <w:p>
      <w:r>
        <w:t>Die Anträge und Einwendungen der Beschwerdeführer, die sich auf die vier Themen des Natur- und Landschaftsschutzes, der zu erwartenden Lärmimmissionen, der Sicherheit bei Schiessübungen und der Aufrechterhaltung der Wegverbindungen beziehen, sind im Einspracheverfahren ebenfalls zulässig, und zwar gemäss Art. 35 lit. b EntG in Verbindung mit Art. 9 EntG und Art. 1 lit. a und d, Art. 2 lit. a, Art. 3 Abs. 2 lit. a und Abs. 3 sowie Art. 4 NHG (Natur- und Landschaftsschutz), mit Art. 7 Abs. 2 EntG (Wegverbindungen) sowie mit Art. 7 Abs. 3 EntG allein (Sicherheitsfragen) und in Verbindung mit Art. 9 des am 1. Januar 1985 in Kraft getretenen Bundesgesetzes über den Umweltschutz vom 7. Oktober 1983 (Lärmimmissionen). Auch in diesem Zusammenhang beklagen sich die Beschwerdeführer in erster Linie über ungenügende Abklärung des Sachverhaltes und Verstösse gegen den Anspruch auf rechtliches Gehör. BGE 112 Ib 280 S. 302 Wie bereits erwähnt, vertritt das EMD die Auffassung, dass die Einsprachen ohne weitere Instruktion allein gestützt auf die Auflageakten und die weiteren Unterlagen der Schätzungskommission sowie die anlässlich der Einigungsverhandlung vorgelegten Dokumente, das heisst gestützt auf das während der Beschwerdefrist beim Bezirksgericht March in Lachen aufgelegte Dossier beurteilt bzw. abgewiesen werden konnten. Dieser Auffassung ist nicht zu folgen. a) Es ist unbestritten, dass die Berichte der Eidgenössischen Natur- und Heimatschutzkommission Bestandteil des Dossiers bilden und den Parteien zugänglich sein müssen. Nun liegen wohl vier dieser Berichte bei den Akten der Schätzungskommission (Berichte vom 18. Dezember 1978, 19. März, 18. August und 30. Dezember 1982), doch fehlt die Vernehmlassung II, die offenbar am 27. November 1979 erstellt worden ist und sich mit dem Standort der Kaserne befasst. Zudem sind die vorliegenden Berichte, wie sich aus dem Aktenverzeichnis der Schätzungskommission ergibt, erst am 11. Juni 1985, also nach der Fällung der ersten Entscheide am 3. Juni, zu den Akten gegeben worden. Es ist daher anzunehmen, dass diese Unterlagen den Einsprechern vor dem Einspracheentscheid nicht zugänglich waren, doch kann offenbleiben, wie es sich im einzelnen damit verhält, da eine entsprechende Rüge nicht erhoben worden ist. Dagegen verlangen die Beschwerdeführer, Einsicht in die Protokolle der ENHK nehmen zu können; als interne Arbeitspapiere sind diese jedoch nicht vorzulegen. Was die angebliche Ausstandspflicht einzelner Mitglieder der ENHK anbelangt, kann der Kürze halber auf die hier dem Sinne nach ebenfalls gültige Erwägung 3 des Entscheides vom 3. Juli 1985 verwiesen werden, wonach eine Ausstandspflicht noch nicht dadurch begründet wird, dass die Mitglieder einer Behörde aufgrund ihres Amtes bestimmte öffentliche Interessen wahrzunehmen haben (s.a. BGE 103 Ib 137 f.). b) Das EMD hat die Berichte des Naturschutzbeauftragten Dr. Meyer-Grass zu internen Akten erklärt und deren Auflage verweigert. Zu Unrecht. Dr. Meyer gilt offiziell als der in der Sache massgebliche Spezialist für Naturschutzfragen; seine Ernennung zum "baubegleitenden Naturschutzfachmann" wurde in der Vereinbarung des EMD mit dem Schweizerischen Bund für Naturschutz vom 19. November 1982 vorgesehen, und der Auftrag an den Experten erging durch das EMD, die ENHK und das Bundesamt für Forstwesen und Landschaftsschutz gemeinsam. Hinzu BGE 112 Ib 280 S. 303 kommt, dass in den Berichten der ENHK auf die Stellungnahmen Dr. Meyers Bezug genommen und häufig einfach auf sie verwiesen wird. Diese Unterlagen gehören daher zu den Akten. Dass sie den Beschwerdeführern nicht vorgelegt worden sind, verletzt deren Akteneinsichtsrecht. c) Über die im Kasernenareal zu erstellenden Bauten gaben seinerzeit nur der Übersichtsplan 1:10 000, der Situationsplan 1:2000 und die Modellfotos Auskunft. Im Anschluss an die Einigungsverhandlungen sind im weiteren eine Ansichtsskizze der Kasernenanlage und eine Plankopie 1:2000 (Variante Mai 1983) über das nunmehr leicht reduzierte Kasernenareal und die Verschiebung der Gebäude um 50 m (oder 35 m?) nach Süden aufgelegt worden. Diese Unterlagen sind offensichtlich ungenügend, um sich fundiert und zuverlässig über die Auswirkungen der geplanten Bauten auf die Umgebung und das Landschaftsbild aussprechen zu können. In diesem Zusammenhang beruft sich das EMD vergeblich auf Art. 164 Abs. 3 des Bundesgesetzes über die Militärorganisation: Diese Bestimmung nimmt die im Interesse der Landesverteidigung liegenden Arbeiten von der kantonalen Bewilligungspflicht aus, befreit aber nicht von der Obliegenheit, die Projekte und Pläne so auszuarbeiten, dass sie den zuständigen Verwaltungsinstanzen und allenfalls dem Bundesgericht ein Urteil darüber erlauben, ob den Anforderungen des Natur- und Heimatschutzgesetzes, insbesondere von Art. 3 Abs. 2 lit. a in Verbindung mit Art. 2 lit. a NHG , entsprochen worden sei. Dass das Kasernenareal ausserhalb des BLN-Schutzobjektes 1308 liegt, spielt - wie schon erwähnt (E. 7c) - keine Rolle. Die in Art. 3 Abs. 1 und 2 NHG statuierte Pflicht des Bundes, das Landschaftsbild und Naturdenkmäler zu schonen oder zu erhalten, gilt denn auch unabhängig davon, ob es sich um ein Objekt von nationaler, regionaler oder nur lokaler Bedeutung handle ( Art. 3 Abs. 3 NHG ). Die Prüfung der Auswirkungen des Projekts auf Landschaft und Umgebung im einzelnen kann entgegen der Meinung des EMD auch nicht auf später, auf die "Detailprojektierung" verschoben werden. Nur hier, im jetzt durchgeführten enteignungsrechtlichen Einspracheverfahren hat der WWF als Natur- und Heimatschutzvereinigung Gelegenheit, seine Interessen mit Einsprache und Verwaltungsgerichtsbeschwerde zu vertreten; nach Abschluss des Enteignungsprozesses besteht für ihn keine Interventionsmöglichkeit mehr. Dass die ENHK ihrerseits dem Projekt grundsätzlich zugestimmt und sich auf einige BGE 112 Ib 280 S. 304 Empfehlungen zur Gestaltung der Bauten beschränkt hat, ist in diesem Zusammenhang nicht von Bedeutung, da die Kommission im Gegensatz zum WWF und den Enteigneten auch in einem späteren Projektierungs- oder Baustadium noch mitreden kann. Übrigens ist das vom Gesetzgeber für die gesamtschweizerischen Vereinigungen geschaffene Beschwerderecht gerade der Einsicht entsprungen, dass die Naturschutzinteressen innerhalb der Verwaltung nicht immer die notwendige Unterstützung finden und sich die nach Art. 103 lit. a OG beschwerdeberechtigten Privaten häufig nur aus egoistischen Gründen auf solche Anliegen besinnen. An der Bedeutung dieses Rekursrechtes ist auch in der Praxis festzuhalten. Im weiteren ergibt sich, dass nicht nur für die Beurteilung der landschaftlichen Aspekte ein ausgearbeitetes Projekt verlangt werden muss. Im Verfahren betreffend die vorzeitige Besitzeinweisung hat sich herausgestellt, dass für die Kasernenbauten ein Fundament aus 750-1000 Ortsbetonpfählen zu erstellen ist, welche die beiden grundwasserführenden Schichten durchstossen sollen, und dass im Kasernenareal das nicht tragfähige Ablagerungsmaterial, insbesondere Torfmaterial und Tonschichten, abgetragen und durch 107'000 m3 Fremdmaterial ersetzt werden soll. Die Stiftung WWF hat in der Beschwerde die Befürchtung geäussert, dass sich diese Arbeiten auf den labilen Wasserhaushalt auswirken könnten, und um sorgfältige Untersuchung der Grundwasserverhältnisse und der Folgen eines Eingriffs ersucht. In seiner Vernehmlassung bemerkt das EMD zu diesem Punkt, hydrologische Fragen seien in den Einsprachen nicht aufgeworfen worden, weshalb sich das Departement hiezu nicht habe äussern müssen. Indessen ist klarzustellen, dass das Gesuch der Beschwerdeführerin um Abklärung der Grundwasserverhältnisse nicht etwa als verwirkt betrachtet werden kann. Wie das Bundesgericht im bereits zitierten Entscheid Schnyder vom 10. Juli 1985 (s. E. 4) ausgeführt hat, erfasst Art. 40 EntG allein die Begehren, zu deren Geltendmachung die Planauflage objektiv Anlass gab. Nun ergab sich aber die Absicht, für den Bau der Kasernenanlage umfangreiche Pfählungen und Terrainverschiebungen vornehmen zu lassen, erst aus den Akten des Besitzeinweisungsverfahrens, so dass sich das Departement nicht auf Unterlassungen der Einsprecher berufen kann, die ihren Grund ausschliesslich in der Dürftigkeit des im Einspracheverfahren vorgelegten Dossiers finden. BGE 112 Ib 280 S. 305 d) Genaueres ist auch über die Ausgestaltung des "Aufklärungsgeländes" nicht bekannt. Da die Einsprachen und Begehren im Sinne von Art. 7-10 EntG in vollem Umfange abgewiesen worden sind, wäre zu erwarten, dass das aufgelegte Projekt abgesehen von der Verschiebung des Kasernenareals unverändert geblieben wäre. Dem ist aber, wie sich aus den nachträglich dem Bundesgericht zur Verfügung gestellten Akten ergibt, keineswegs so. Zwar ist der Perimeter beibehalten worden, doch hat das Übungsgelände hinsichtlich der Anordnung der Anlagen und der Aufgliederung in verschiedene Sektoren wesentliche Änderungen erfahren. Die Frage, ob sich dies formell mit dem Ergebnis des Einspracheverfahrens vereinbaren lasse, darf übergangen werden. Dagegen kann nicht darüber hinweggesehen werden, dass den Einsprechern keine Pläne oder Skizzen vorgelegt worden sind, die Aufschluss gäben über die Natur und Gestalt der einzelnen baulichen Vorrichtungen und anderen Anlagen, eingeschlossen Terrainveränderungen, sowie über die Auswirkungen auf Landschaft, Flora und Fauna in der Ebene wie auch im Hanggebiet, also im Bereich des BLN-Schutzobjektes 1307 selbst und in der angrenzenden Zone. Wohl ist anlässlich der Einigungsverhandlungen ein Bericht des Naturschutzbeauftragten Dr. Meyer vom 10. Mai 1983 betreffend das "bereinigte Projekt" zu den Akten gegeben worden, dem eine Grob-Skizze über die Gestaltung der Sperrzone 4 (Nesseliried) beiliegt. Dieser Bericht enthält aber ebenfalls keine genauen Angaben über die Art der vorgesehenen baulichen Vorrichtungen. Ausserdem ist den Einsprechern nie Gelegenheit geboten worden, zu ihm Stellung zu nehmen. Ähnliches gilt für den Bericht von Oberst i Gst Hemmi bzw. des Bundesamtes für Mechanisierte und Leichte Truppen vom 10. Juni 1983 über den Problemkreis Sicherheit. Abgesehen davon, dass sich der unter den Beilagen aufgeführte Situationsplan 1:2000 nicht bei den Akten befindet, wird auch hier von baulichen Massnahmen, insbesondere baulicher Gestaltung des Zielhanges und des Kugelfanges sowie von Erhöhung der Schiessstellungen gesprochen, ohne dass irgendwo erklärt würde, wie diese Vorrichtungen aussehen. Die Instruktion ist daher auch in dieser Beziehung mangelhaft und ist für alle im "Aufklärungsgelände" vorgesehenen Anlagen zu ergänzen. Es wäre denn auch irrig, anzunehmen, dass die Projektierung nicht über den Werkplan ( Art. 27 EntG ) hinaus weiterzutreiben sei, solange die Einsprachen nicht endgültig erledigt seien. Über die in den Einsprachen aufgeworfenen Fragen, BGE 112 Ib 280 S. 306 insbesondere über die Bedeutung des noch verbleibenden militärischen Nutzens des "Aufklärungsgeländes", über die Vereinbarkeit der vorgesehenen Anlagen mit dem Gebot des Schutzes von Landschaft und Biotopen, über das Genügen der Sicherheitsvorkehren und allfälliger weiterer Vorrichtungen im Sinne von Art. 7 Abs. 3 EntG kann erst entschieden werden, wenn nach Ergänzung von Instruktion und Planung genauere Unterlagen als die jetzt zur Verfügung stehenden vorgelegt werden können. Andererseits ist nicht einzusehen, inwiefern Berichte über die militärischen Anlagen auf anderen, bestehenden Waffenplätzen zur Beurteilung der Verhältnisse in Rothenthurm beitragen könnten; das Begehren der Beschwerdeführer um Edition solcher Dokumente ist daher abzuweisen. e) Im weiteren wird von den Beschwerdeführern zu Recht gerügt, dass Lärmprognosen und -zonenpläne völlig fehlen. Die Notwendigkeit solcher Abklärungen ergibt sich einerseits aus dem Enteignungsrecht, spielt doch die Frage, welche Lärmbeeinträchtigungen der Waffenplatzbetrieb für die Umwelt mit sich bringen wird, sowohl im Rahmen der Interessenabwägung als auch bei der Prüfung des Projektes unter dem Gesichtswinkel von Art. 7 Abs. 3 EntG eine wesentliche Rolle. Andererseits schreibt Art. 9 des Umweltschutzgesetzes (USG) für Werke, welche die Umwelt erheblich belasten können, eine Umweltverträglichkeitsprüfung vor. Zwar ist die Verordnung, in der nach Art. 9 Abs. 1 zweiter Satz USG die der Umweltschutzverträglichkeitsprüfung unterstehenden Anlagen bezeichnet werden sollen, vom Bundesrat noch nicht erlassen worden, doch wurde schon in der bundesrätlichen Botschaft zum Gesetzesentwurf und ebenfalls in den parlamentarischen Beratungen erklärt, dass "Waffen-, Schiess- und Übungsplätze" zu diesen Anlagen gehören (BBl 1979 III S. 786; Amtl.Bull. NR 1982 S. 370 Votum Bundesrat Hürlimann). Das Bundesgericht ist denn auch unlängst in seinem einen Gemeindeschiessplatz betreffenden Entscheid ( BGE 112 Ib 46 E. 4) zum Schluss gelangt, dass das Umweltschutzgesetz anwendbar sei, obschon verschiedene Verordnungen zu diesem Gesetz noch nicht ergangen seien. Demgegenüber vermag das Argument des EMD, dass nach der Inbetriebnahme des Waffenplatzes lediglich Übungen fortgesetzt würden, die in Rothenthurm seit bald zwanzig Jahren stattfänden, nicht zu überzeugen. In Rothenthurm soll ein neues, von den vorgesehenen Anlagen und den eingesetzten finanziellen Mitteln her bedeutendes Werk geschaffen werden, das der Konzentrierung BGE 112 Ib 280 S. 307 der früher an verschiedenen Orten stationierten Truppen dient und aller Voraussicht nach zu einer Intensivierung des gesamten militärischen und insbesondere des Schiessbetriebes führen wird. Eine Prognose über die zu erwartenden Lärmimmissionen kann entgegen der Meinung des Departementes bereits heute angestellt werden und erfordert, wenn die Schiessstellungen, die Art der eingesetzten Waffen, die Häufigkeit der Schüsse und der Schiessübungen bekannt sind, weder einen sehr hohen technischen oder finanziellen noch einen übermässigen Zeitaufwand. Das EMD wird sich daher einen entsprechenden Expertenbericht beschaffen und ihn den Beschwerdeführern zur Stellungnahme unterbreiten müssen. f) Die vom EMD für die Strassenverbindungen getroffenen Lösungen werden von den Beschwerdeführern in verschiedener Hinsicht beanstandet. Was die Linienführung der sogenannten Umfahrungsstrasse Rossboden-Rothenthurm anbelangt, so ist den Beschwerdeführern die von Dr. Meyer vorgeschlagene, von der ENHK genehmigte und nunmehr vom EMD übernommene Variante offensichtlich bekannt. Die an ihr geübte Kritik ist zurückzuweisen, da dem EMD keine Überschreitung des ihm bei der Trassewahl zustehenden Ermessens vorgeworfen werden kann und sich der für die Anwohner entstehende Mehrweg in den Grenzen des Zumutbaren hält. Weiter besteht kein Anlass, an der Erklärung des Departementes, dass die Umfahrungsstrasse jeweils nur kurzzeitig während der militärischen Übungen gesperrt werden müsse, zu zweifeln. Ob die Strasse unterhalb des Rossbodens zu steil und daher nicht wintersicher sei, wird im Rahmen der Detailprojektierung noch überprüft werden müssen. Ebenfalls wird das Departement noch zu untersuchen haben, wie dem bisher noch nicht behandelten Begehren der Korporation Oberägeri um Aufrechterhaltung der Wegverbindungen, die bei einer Totalenteignung der Parzellen Nrn. 1102, 1218 und 1219 für die ehemalige Eigentümerin verlorengingen, entsprochen werden kann. Was schliesslich die von den Beschwerdeführern als zu schmal bezeichneten Fahrschul-Strassen betrifft, so wird erst die Praxis zeigen, ob zusätzliche Benützungsvorschriften oder bauliche Vorkehren getroffen werden müssen. Jedenfalls wird das Departement eingeladen, dafür zu sorgen, dass die durch den Fahrschul-Betrieb für die Anwohner entstehenden Belästigungen auf ein Minimum beschränkt werden. BGE 112 Ib 280 S. 308 e) Es ergibt sich somit, dass die Sache zur Ergänzung der Instruktion in den genannten, das Kasernenareal und das "Aufklärungsgelände" betreffenden Punkten und zu neuem Entscheid an das Departement zurückzuweisen ist.</w:t>
      </w:r>
    </w:p>
    <w:p>
      <w:r>
        <w:rPr>
          <w:b/>
        </w:rPr>
        <w:t>E. 13</w:t>
      </w:r>
    </w:p>
    <w:p>
      <w:r>
        <w:t>Über den Vorschlag der Beschwerdeführer, wenigstens die Kasernenanlage aus der Ägeriried-Ebene hinaus an einen anderen Ort zu verlegen, hat sich das Bundesgericht im heutigen Verfahren materiell nicht auszusprechen. Dazu kann einzig bemerkt werden, dass gemäss den vor dem Parlament abgegebenen Erklärungen eine Verlegung der Kaserne ins "Infanteriegelände Cholmattli" geprüft, aus verschiedenen Gründen aber abgelehnt worden ist, etwa weil eine solche, neu zu planende Lösung zu viel Zeit in Anspruch nähme, mit den gegenüber der Oberallmeind-Korporation Schwyz übernommenen Verpflichtungen nicht zu vereinbaren wäre, wertvolles Gelände für die Schiessausbildung verlorenginge und der Schiesslärm den Unterricht in der Kaserne behindern würde (Amtl.Bull. NR 1983 S. 1277 Votum Berichterstatter Wellauer, S. 1279 Votum Bundesrat Chevallaz). Eine Verschiebung des Kasernenareals auf die andere, östliche Seite des SOB-Dammes, wo der Bund ausserhalb des Waffenplatz-Perimeters bereits beachtliche Bodenflächen besitzt, ist offenbar nicht ins Auge gefasst worden. In seinem Schreiben vom 12. Juni 1986 erklärt das EMD zu diesen Grundstücken, sie seien als Realersatzflächen für die enteigneten Landwirte reserviert. In der Tat wird man bei der Überprüfung der Standortwahl - wie bereits in E. 10b angetönt - nicht darum herumkommen, die Interessen am Schutz wertvoller Naturlandschaften und Biotope einerseits und die Interessen an der Erhaltung von landwirtschaftlich wertvollem Boden andererseits gegeneinander abzuwägen. Es wird Sache der Bundesverwaltung sein, diese Abwägung im Lichte der neuen Erkenntnisse vorzunehmen, wozu ihr übrigens das Parlament den notwendigen Spielraum gelassen hat (vgl. Amtl.Bull. NR 1983 S. 1284 Voten Berichterstatter Wellauer und Jeanneret). Wie erwähnt ist in diesem und in anderem Zusammenhang dem Faktor Zeit grosse Bedeutung beigemessen worden, da die Gefahr bestehe, dass die Oberallmeind-Korporation Schwyz das ihr im Kauf- und Tauschvertrag vom 22. Oktober 1978 vorbehaltene Rückkaufsrecht bei nicht rechtzeitiger Verwirklichung des Waffenplatzes ausüben könnte. So verständlich diese Befürchtungen und das Bestreben, sich an eingegangene Verpflichtungen zu halten, auch sind, so können sie doch den Anspruch der Einsprecher auf BGE 112 Ib 280 S. 309 eine gesetzmässige Abwicklung des Verfahrens nicht schmälern und auf Entscheide anderer Behörden keinen Einfluss haben. Würden sich die Rückkaufsbedingungen tatsächlich erfüllen, bleibt der Eidgenossenschaft immer noch der Ausweg, das Rückkaufsrecht (vgl. Art. 5, 21, 23 und 37 EntG; HESS/WEIBEL, a.a.O. N. 7 und 24 zu Art. 5 EntG ) oder die Grundstücke selbst zu enteignen.</w:t>
      </w:r>
    </w:p>
    <w:p>
      <w:r>
        <w:rPr>
          <w:b/>
        </w:rPr>
        <w:t>E. 15</w:t>
      </w:r>
    </w:p>
    <w:p>
      <w:r>
        <w:t>Schliesslich beanstanden die Beschwerdeführer zu Recht, dass das Departement nicht über die Kosten und die Parteientschädigungen entschieden hat. Selbst wenn angenommen werden könnte, dass das EMD die Kosten stillschweigend der Eidgenossenschaft auferlegt habe, so hätte es sich doch über die Parteientschädigung aussprechen müssen. Seit der Revision der Art. 114 und 115 EntG im Jahre 1971 hat die Schätzungskommission bzw. deren Präsident nur noch über die Parteientschädigungen für Einsprachen zu befinden, wenn diese an der Einigungsverhandlung erledigt werden können; sonst steht der Entscheid im Einspracheverfahren dem in der Sache zuständigen Departement zu (Art. 114 Abs. 4 in Verbindung mit Art. 115 Abs. 4 EntG ). Die beim Bundesgericht eingereichten Kostennoten für das Einspracheverfahren vor dem Departement sind daher an dieses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