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124 vom 1. Januar 1986</w:t>
      </w:r>
    </w:p>
    <w:p>
      <w:r>
        <w:t>Bundesgericht (BGE), 1986-01-01, DE</w:t>
      </w:r>
    </w:p>
    <w:p>
      <w:r>
        <w:rPr>
          <w:b/>
        </w:rPr>
        <w:t xml:space="preserve">Quelle: </w:t>
      </w:r>
      <w:r>
        <w:t>https://mcp.opencaselaw.ch/entscheid/bge_BGE_112_IB_124</w:t>
      </w:r>
    </w:p>
    <w:p>
      <w:r>
        <w:t>FR: BGE BGE 112 IB 124 du 1 janvier 1986</w:t>
      </w:r>
    </w:p>
    <w:p>
      <w:r>
        <w:t>IT: BGE BGE 112 IB 124 del 1 gennaio 1986</w:t>
      </w:r>
    </w:p>
    <w:p>
      <w:pPr>
        <w:pStyle w:val="Heading2"/>
      </w:pPr>
      <w:r>
        <w:t>Regeste</w:t>
      </w:r>
    </w:p>
    <w:p>
      <w:r>
        <w:t>Regeste Einleitung eines Enteignungsverfahrens vor den eidgenössischen Schätzungskommissionen durch Private. 1. Welche Möglichkeiten hat ein Privater vor den eidgenössischen Schätzungskommissionen ein Enteignungsverfahren einzuleiten? (E. 2) 2. Die Beschwerdeführerin verlangt vorliegend eine Entschädigung dafür, dass sie ihr Projekt eines Tanklagers ändern und zusätzliche, sonst nicht notwendige Sicherheitsmassnahmen ergreifen musste, um im Falle eines Tanklagerbrandes die Gefahren für den benachbarten Armeemotorfahrzeugpark (AMP) zu verringern oder wenn möglich ganz auszuschliessen. Die eidgenössische Schätzungskommission ist aber nicht zuständig zum Entscheid über eine solche Entschädigungsforderung. Das EMD hat deshalb die Eröffnung eines Enteignungsverfahrens zu Recht abgelehnt (E. 3).</w:t>
      </w:r>
    </w:p>
    <w:p>
      <w:r>
        <w:t>Regeste Introduction d'une procédure d'expropriation auprès des Commissions fédérales d'estimation par des particuliers. 1. Quelles possibilités a un particulier de faire ouvrir une procédure d'expropriation par une Commission fédérale d'estimation? (Consid. 2.) 2. La recourante demande en l'espèce une indemnité en raison de l'obligation qui lui est faite de modifier son projet de dépôt de carburants et de prendre des mesures de sécurité supplémentaires - autrement non nécessaires - afin de diminuer et si possible d'écarter complètement les risques encourus en cas d'incendie par un parc à véhicules de l'armée avoisinant. Incompétence de la Commission fédérale pour statuer sur une telle prétention. Le DMF a donc refusé avec raison l'ouverture d'une procédure d'expropriation (consid. 3).</w:t>
      </w:r>
    </w:p>
    <w:p>
      <w:r>
        <w:t>Regesto Introduzione da parte di privati di una procedura d'espropriazione dinanzi alle Commissioni federali di stima. 1. Quali possibilità ha un privato di far aprire una procedura d'espropriazione davanti alla Commissione federale di stima? (Consid. 2.) 2. Nella fattispecie, la ricorrente chiede un'indennità per l'obbligo impostole di modificare il suo progetto di deposito di carburanti e di adottare misure supplementari di sicurezza, altrimenti non necessarie, allo scopo di ridurre o, se possibile, escludere, in caso d'incendio, i rischi corsi dal vicino parco veicoli dell'esercito. La Commissione federale di stima non è peraltro competente a decidere su tale pretesa. Il DMF ha quindi a ragione rifiutato di aprire una procedura di espropriazione (consid. 3).</w:t>
      </w:r>
    </w:p>
    <w:p>
      <w:pPr>
        <w:pStyle w:val="Heading2"/>
      </w:pPr>
      <w:r>
        <w:t>Erwägungen</w:t>
      </w:r>
    </w:p>
    <w:p>
      <w:r>
        <w:rPr>
          <w:b/>
        </w:rPr>
        <w:t>E. 2</w:t>
      </w:r>
    </w:p>
    <w:p>
      <w:r>
        <w:t>Der Gesetzgeber hat die eidgenössischen Schätzungskommissionen als richterliche Spezialinstanzen primär für die erstinstanzliche Beurteilung von Ansprüchen auf dem Gebiet der formellen Enteignung geschaffen (vgl. Art. 59 und 64 EntG ). In der Regel kann einzig das Unternehmen, das mit dem Enteignungsrecht ausgestattet oder welchem dieses noch zu verleihen ist, dem zuständigen Präsidenten das Gesuch zur Einleitung des Enteignungsverfahrens stellen. Die Privaten können ihre Entschädigungsforderungen erst dann bei der Schätzungskommission anmelden, wenn das Verfahren BGE 112 Ib 124 S. 126 bereits eröffnet ist, d.h. wenn eine öffentliche Planauflage im Sinne von Art. 30 EntG stattgefunden hat oder wenn ihnen im abgekürzten Verfahren nach Art. 33 f. EntG eine persönliche Anzeige zugestellt worden ist ( BGE 106 Ib 234 E. 2a mit Hinweisen). Sind diese Voraussetzungen nicht gegeben, so hat der Private, der eine Entschädigungsforderung geltend machen will, beim Enteigner die Eröffnung eines Enteignungsverfahrens zu beantragen oder - wenn das Enteignungsrecht noch übertragen werden muss ( Art. 3 Abs. 3 EntG ) - bei der dazu zuständigen Behörde vorstellig zu werden ( BGE 110 Ib 371 E. 1 mit Hinweis). Dagegen können sich die Privaten dort, wo es die Spezialgesetzgebung ausdrücklich vorsieht, mit einem Gesuch um Eröffnung des Schätzungsverfahrens direkt an den Präsidenten der Schätzungskommission wenden; es handelt sich hiebei um Fälle der materiellen Enteignung, deren Beurteilung der Gesetzgeber nach Erlass des Enteignungsgesetzes für besondere Sachbereiche ebenfalls den eidgenössischen Schätzungskommissionen übertragen hat (vgl. z.B. Art. 18 Abs. 2 und Art. 25 Abs. 3 des Bundesgesetzes über die Nationalstrassen vom 8. März 1960; Art. 44 Abs. 1 und 4 des Bundesgesetzes über die Luftfahrt vom 21. Dezember 1948 sowie Art. 18i des revidierten Eisenbahngesetzes vom 20. Dezember 1957).</w:t>
      </w:r>
    </w:p>
    <w:p>
      <w:r>
        <w:rPr>
          <w:b/>
        </w:rPr>
        <w:t>E. 3</w:t>
      </w:r>
    </w:p>
    <w:p>
      <w:r>
        <w:t>Es ist unbestritten, dass die Schweizerische Eidgenossenschaft zur Erfüllung ihrer Aufgaben im Zusammenhang mit der Landesverteidigung das Enteignungsrecht besitzt ( Art. 1 EntG ) und dass das EMD die zu seiner Ausübung zuständige Behörde ist (vgl. dazu BGE 109 Ib 134 E. c und d mit Hinweisen). Ein Enteignungsverfahren vor der eidgenössischen Schätzungskommission kann aber nur eröffnet werden, wenn diese zum Entscheid über die geltend gemachte Entschädigungsforderung auch tatsächlich kompetent ist. Es ist zu prüfen, ob dies im vorliegenden Fall zutrifft. a) Die Beschwerdeführerin behauptet zu Recht nicht, sie erhebe ihre Forderung gegenüber der Eidgenossenschaft als Entschädigung für den Entzug oder die Beschränkung eines der Rechte, die gemäss Art. 5 Abs. 1 EntG enteignet werden können. Es steht weder ein dingliches Recht an einem Grundstück, das ihr gehört, noch ein aus dem Grundeigentum hervorgehendes Nachbarrecht oder ein persönliches Recht von Mietern und Pächtern im Sinne dieser Bestimmung auf dem Spiel. Die Beschwerdeführerin macht denn auch nicht geltend, der Betrieb des AMP bewirke auf ihrem Grundstück übermässige Immissionen, welche sie im Interesse der Landesverteidigung dulden müsse. Im Gegenteil: Die X. AG verlangt BGE 112 Ib 124 S. 127 eine Entschädigung dafür, dass sie ihr Projekt für das Tanklager ändern und zusätzliche, sonst nicht notwendige Sicherheitsmassnahmen ergreifen musste, um im Falle eines Tanklagerbrandes die Gefahren für den AMP zu verringern oder wenn möglich ganz auszuschliessen. Nicht die Eidgenossenschaft verursacht somit übermässige Einwirkungen, sondern das Tanklager der Beschwerdeführerin stellt eine Gefahrenquelle für den unmittelbar benachbarten AMP dar. Der vorliegende Sachverhalt liegt ähnlich wie in den Urteilen in Sachen Säurefabrik Schweizerhall ( BGE 101 Ib 166 ff.) und Maurino SA ( BGE 108 Ib 492 ff.). In beiden Fällen hat das Bundesgericht erkannt, dass der Grundeigentümer nicht gestützt auf Art. 5 Abs. 1 EntG Entschädigungsforderungen geltend machen kann für Massnahmen, mit denen Einwirkungen aus seinem Grundstück auf solche der Nachbarn verhindert oder entsprechende Gefahren verringert werden sollen. Der Private kann auch nicht gestützt auf Art. 7 Abs. 3 EntG vom Bund verlangen, er solle solche Vorkehren auf eigene Rechnung vornehmen lassen ( BGE 108 Ib 498 E. 5). b) Die Beschwerdeführerin vertritt jedoch die Ansicht, die finanziellen Aufwendungen für die zusätzlichen, bei einem "gewöhnlichen" Nachbarn nicht notwendig gewesenen Sicherheitsmassnahmen zum Schutz des AMP erfüllten den Tatbestand der materiellen Enteignung. Sie nennt aber keine Bestimmung des Bundesrechts, nach welcher die eidgenössische Schätzungskommission zum Entscheid über einen solchen Anspruch zuständig wäre. Eine solche Norm besteht - soweit ersichtlich - auch nicht, und die Beschwerdeführerin irrt, wenn sie aus BGE 106 Ib 234 E. 2a am Ende eine allgemeine Kompetenz der Schätzungskommission ableitet. Aus dieser Textstelle ergibt sich vielmehr, dass die sachliche Zuständigkeit der eidgenössischen Schätzungskommission nur durch besondere gesetzliche Vorschrift begründet werden kann (vgl. dazu die Beispiele in E. 2 am Ende). c) Die eidgenössische Schätzungskommission ist somit offensichtlich nicht zuständig zum Entscheid über die von der Beschwerdeführerin erhobenen Ansprüche. Das EMD hat deshalb kein Bundesrecht verletzt, wenn es den Antrag der X. AG auf Eröffnung eines Enteignungsverfahrens abgelehnt hat. Die Schätzungskommission hätte auf ein entsprechendes Gesuch des EMD wegen fehlender sachlicher Kompetenz ohnehin nicht eintreten können. Zwar entscheidet diese gemäss Art. 64 Abs. 2 EntG selbst über ihre Zuständigkeit, aber es würde im vorliegenden Fall einen BGE 112 Ib 124 S. 128 unnötigen Formalismus darstellen, diese Frage in erster Instanz von der Kommission selbst beantworten zu lassen. Das Bundesgericht ist nicht nur Aufsichtsbehörde über die eidgenössischen Schätzungskommissionen, sondern es würde auch im Rahmen der in Art. 64 Abs. 2 EntG vorgesehenen Verwaltungsgerichtsbeschwerde mit voller Kognition über dieselbe Frage entscheiden wie im vorliegenden Urteil. Das Recht der Beschwerdeführerin, das strittige Problem einem Gericht zur Lösung zu unterbreiten, ist somit voll gewahrt (vgl. auch BGE 110 Ib 379 E.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