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339 vom 1. Januar 1986</w:t>
      </w:r>
    </w:p>
    <w:p>
      <w:r>
        <w:t>Bundesgericht (BGE), 1986-01-01, DE</w:t>
      </w:r>
    </w:p>
    <w:p>
      <w:r>
        <w:rPr>
          <w:b/>
        </w:rPr>
        <w:t xml:space="preserve">Quelle: </w:t>
      </w:r>
      <w:r>
        <w:t>https://mcp.opencaselaw.ch/entscheid/bge_BGE_112_IA_339</w:t>
      </w:r>
    </w:p>
    <w:p>
      <w:r>
        <w:t>FR: BGE BGE 112 IA 339 du 1 janvier 1986</w:t>
      </w:r>
    </w:p>
    <w:p>
      <w:r>
        <w:t>IT: BGE BGE 112 IA 339 del 1 gennaio 1986</w:t>
      </w:r>
    </w:p>
    <w:p>
      <w:pPr>
        <w:pStyle w:val="Heading2"/>
      </w:pPr>
      <w:r>
        <w:t>Regeste</w:t>
      </w:r>
    </w:p>
    <w:p>
      <w:r>
        <w:t>Regeste Art. 58 BV; § 36 des thurgauischen Gerichtsorganisationsgesetzes; Verwirkung des Anspruchs auf den verfassungsmässigen Richter. Die Rüge der ungehörigen Besetzung des Gerichts ist zu Beginn der Verhandlung zu erheben. Wer einen Organmangel dieser Art feststellt und sich nicht dagegen zur Wehr setzt, verwirkt den Anspruch auf spätere Anrufung der verletzten Bestimmung.</w:t>
      </w:r>
    </w:p>
    <w:p>
      <w:r>
        <w:t>Regeste Art. 58 Cst.; § 36 de la loi d'organisation judiciaire du canton de Thurgovie; perte du droit d'invoquer la garantie du juge constitutionnel. Le grief de la composition irrégulière du tribunal doit être soulevé au début des débats. Celui qui constate une telle irrégularité et ne s'en plaint pas perd le droit d'invoquer ultérieurement la disposition violée.</w:t>
      </w:r>
    </w:p>
    <w:p>
      <w:r>
        <w:t>Regesto Art. 58 Cost.; § 36 della legge sull'organizzazione giudiziaria del Cantone di Turgovia; perenzione del diritto d'invocare la garanzia del giudice costituzionale. La censura riguardante la composizione irregolare del tribunale va sollevata all'inizio del dibattimento. Chi contesta tale irregolarità e non se ne duole decade dal diritto d'invocare ulteriormente la disposizione violata.</w:t>
      </w:r>
    </w:p>
    <w:p>
      <w:pPr>
        <w:pStyle w:val="Heading2"/>
      </w:pPr>
      <w:r>
        <w:t>Erwägungen</w:t>
      </w:r>
    </w:p>
    <w:p>
      <w:r>
        <w:rPr>
          <w:b/>
        </w:rPr>
        <w:t>E. 1</w:t>
      </w:r>
    </w:p>
    <w:p>
      <w:r>
        <w:t>a) An seiner Sitzung vom 7. November 1985 (Berufungsverhandlung) war das Obergericht mit drei ordentlichen Mitgliedern sowie mit einem ordentlichen und einem ausserordentlichen Ersatzrichter (Suppleanten) besetzt. Die Beschwerdeführerin erblickt in dieser Konstituierung eine nicht nur gegen das Willkürverbot des Art. 4 BV , sondern auch gegen Art. 58 Abs. 1 BV und Art. 6 Ziff. 1 EMRK (Garantie des verfassungsmässigen Richters) verstossende Anwendung von § 36 des thurgauischen Gesetzes betreffend die Organisation des Gerichtswesens vom 22. März 1850 (Gerichtsorganisationsgesetz). BGE 112 Ia 339 S. 340 b) Die erwähnte kantonalrechtliche Bestimmung hat folgenden Wortlaut: "Kann das Obergericht durch die drei ordentlichen Suppleanten nicht ergänzt werden, so findet die Beiziehung der Bezirksgerichtspräsidenten, und erforderlichenfalls der ihnen im Range folgenden Bezirksrichter statt." Nach Auffassung der Beschwerdeführerin ist der Beizug von ordentlichen Suppleanten nur zulässig, wenn ordentliche Mitglieder ausfallen und das Obergericht sonst nicht mehr mit der gesetzlich vorgesehenen Zahl von fünf Richtern (vgl. § 42 des Gerichtsorganisationsgesetzes) besetzt werden könnte. Auf ausserordentliche Ersatzrichter dürfe sodann erst zurückgegriffen werden, wenn auch der Kreis der ordentlichen Suppleanten ausgeschöpft sei. ... c) Die Rüge betreffend die Besetzung des Obergerichts hätte die Beschwerdeführerin bereits zu Beginn der kantonalen Berufungsverhandlung erheben können, zumal sie nicht etwa geltend macht, sie habe die Richter, die bei der Fällung des angefochtenen Entscheids mitgewirkt hätten, bzw. deren amtliche Stellung nicht gekannt. Wer einen (echten oder vermeintlichen) Organmangel der erwähnten Art feststellt und sich nicht dagegen zur Wehr setzt, sondern sich stillschweigend auf den Prozess einlässt, verwirkt den Anspruch auf spätere Anrufung der verletzten Verfassungsbestimmung (vgl. BGE 111 Ia 74 f. E. b betreffend die Ablehnung eines Schiedsrichters). Auf die erwähnte Rüge ist deshalb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