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173 vom 1. Januar 1986</w:t>
      </w:r>
    </w:p>
    <w:p>
      <w:r>
        <w:t>Bundesgericht (BGE), 1986-01-01, DE</w:t>
      </w:r>
    </w:p>
    <w:p>
      <w:r>
        <w:rPr>
          <w:b/>
        </w:rPr>
        <w:t xml:space="preserve">Quelle: </w:t>
      </w:r>
      <w:r>
        <w:t>https://mcp.opencaselaw.ch/entscheid/bge_BGE_112_IA_173</w:t>
      </w:r>
    </w:p>
    <w:p>
      <w:r>
        <w:t>FR: BGE BGE 112 IA 173 du 1 janvier 1986</w:t>
      </w:r>
    </w:p>
    <w:p>
      <w:r>
        <w:t>IT: BGE BGE 112 IA 173 del 1 gennaio 1986</w:t>
      </w:r>
    </w:p>
    <w:p>
      <w:pPr>
        <w:pStyle w:val="Heading2"/>
      </w:pPr>
      <w:r>
        <w:t>Regeste</w:t>
      </w:r>
    </w:p>
    <w:p>
      <w:r>
        <w:t>Regeste Art. 30 Abs. 1 OG. Eine Rechtsschrift ans Bundesgericht, auf der sich die Unterschrift nur in Photokopie befindet, ist ungültig.</w:t>
      </w:r>
    </w:p>
    <w:p>
      <w:r>
        <w:t>Regeste Art. 30 al. 1 OJ. Un acte judiciaire adressé au Tribunal fédéral et sur lequel la signature ne figure qu'en photocopie n'est pas recevable.</w:t>
      </w:r>
    </w:p>
    <w:p>
      <w:r>
        <w:t>Regesto Art. 30 cpv. 1 OG. Un atto scritto destinato al Tribunale federale, sul quale la firma figura soltanto in fotocopia, non è ammissibile.</w:t>
      </w:r>
    </w:p>
    <w:p>
      <w:pPr>
        <w:pStyle w:val="Heading2"/>
      </w:pPr>
      <w:r>
        <w:t>Erwägungen</w:t>
      </w:r>
    </w:p>
    <w:p>
      <w:r>
        <w:rPr>
          <w:b/>
        </w:rPr>
        <w:t>E. 1</w:t>
      </w:r>
    </w:p>
    <w:p>
      <w:r>
        <w:t>Mit der vorliegenden Beschwerde wendet sich P. gegen zwei Entscheide der St. Galler Behörden. Die Eingabe wurde von seiner Vertreterin, Frau P., verfasst. Diese reichte dem Bundesgericht allerdings nicht das Original der Rechtsschrift ein, sondern zwei Kopien der zuvor unterschriebenen Beschwerde. Auch der Briefumschlag wurde nicht mit einer eigenhändigen Unterschrift versehen. Alle für das Bundesgericht bestimmten Rechtsschriften sind zu unterschreiben ( Art. 30 Abs. 1 OG ). Die Unterschrift ist nach konstanter Rechtsprechung Gültigkeitsvoraussetzung ( BGE 102 IV 143 , BGE 86 III 3 , BGE 83 II 514 , BGE 81 IV 143 , BGE 80 IV 48 , BGE 77 II 352 ). Sie muss eigenhändig angebracht werden, nicht z.B. mit der Schreibmaschine ( BGE 86 III 3 f.); auch eine photokopierte Unterschrift genügt nicht, weil sonst dem Missbrauch vermittels Photomontage Tür und Tor geöffnet wären. Auf die nicht rechtsgültig unterzeichnete Beschwerde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