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124 vom 1. Januar 1986</w:t>
      </w:r>
    </w:p>
    <w:p>
      <w:r>
        <w:t>Bundesgericht (BGE), 1986-01-01, DE</w:t>
      </w:r>
    </w:p>
    <w:p>
      <w:r>
        <w:rPr>
          <w:b/>
        </w:rPr>
        <w:t xml:space="preserve">Quelle: </w:t>
      </w:r>
      <w:r>
        <w:t>https://mcp.opencaselaw.ch/entscheid/bge_BGE_112_IA_124</w:t>
      </w:r>
    </w:p>
    <w:p>
      <w:r>
        <w:t>FR: BGE BGE 112 IA 124 du 1 janvier 1986</w:t>
      </w:r>
    </w:p>
    <w:p>
      <w:r>
        <w:t>IT: BGE BGE 112 IA 124 del 1 gennaio 1986</w:t>
      </w:r>
    </w:p>
    <w:p>
      <w:pPr>
        <w:pStyle w:val="Heading2"/>
      </w:pPr>
      <w:r>
        <w:t>Regeste</w:t>
      </w:r>
    </w:p>
    <w:p>
      <w:r>
        <w:t>Regeste Art. 22ter, Art. 4 BV. Volle Entschädigung bei Enteignung; Anspruch auf Rückerstattung der Grundstückgewinnsteuer? Die Besteuerung der Enteignungsentschädigung als Grundstückgewinn im Ausmass von 20% der Entschädigung ist mit Art. 22ter BV vereinbar, weshalb sich aus dieser Verfassungsnorm kein Anspruch auf Rückerstattung der geleisteten Grundstückgewinnsteuer ableiten lässt (E. 3). Die Verneinung der Rückerstattungspflicht ist auch im Vergleich mit Fällen der tauschweisen Leistung von Realersatz nicht rechtsungleich, da das luzernische Recht keine Befreiung von der Steuerpflicht, sondern lediglich einen Steueraufschub gewährt (E. 4).</w:t>
      </w:r>
    </w:p>
    <w:p>
      <w:r>
        <w:t>Regeste Art. 22ter, art. 4 Cst. Juste indemnité en cas d'expropriation; droit au remboursement de l'impôt sur les gains immobiliers? Une imposition de l'indemnité d'expropriation au titre de gain immobilier à concurrence de 20% du montant alloué est compatible avec l'art. 22ter Cst.; on ne peut donc déduire de cette norme constitutionnelle un droit au remboursement de l'impôt perçu sur les gains immobiliers (consid. 3). La négation du devoir de rembourser ne consacre en outre aucune inégalité de traitement par rapport aux cas de compensation réelle intervenant par voie d'échange, car le droit lucernois prévoit dans cette dernière hypothèse non pas une exonération fiscale, mais simplement un report de l'imposition (consid. 4).</w:t>
      </w:r>
    </w:p>
    <w:p>
      <w:r>
        <w:t>Regesto Art. 22ter, art. 4 Cost. Piena indennità in caso d'espropriazione; diritto al rimborso dell'imposta sul maggior valore immobiliare? Il prelevamento del 20% dell'indennità per espropriazione, a titolo d'imposta sul maggior valore immobiliare, è compatibile con l'art. 22ter Cost.; da tale norma costituzionale non può essere dedotto un diritto al rimborso dell'imposta pagata sul maggior valore immobiliare (consid. 3). Negando l'obbligo del rimborso non si crea una disparità di trattamento rispetto al caso della compensazione reale mediante permuta, dato che il diritto lucernese non prevede in quest'ultima ipotesi un esonero dall'assoggettamento all'imposta, bensì soltanto un differimento dell'imposizione (consid. 4).</w:t>
      </w:r>
    </w:p>
    <w:p>
      <w:pPr>
        <w:pStyle w:val="Heading2"/>
      </w:pPr>
      <w:r>
        <w:t>Erwägungen</w:t>
      </w:r>
    </w:p>
    <w:p>
      <w:r>
        <w:rPr>
          <w:b/>
        </w:rPr>
        <w:t>E. 3</w:t>
      </w:r>
    </w:p>
    <w:p>
      <w:r>
        <w:t>Der Beschwerdeführer macht eine Verletzung der Eigentumsgarantie gemäss Art. 22ter BV und § 9 KV geltend. a) Einer Garantie, die in einer Kantonsverfassung verankert ist, kommt nur dann eigene Tragweite zu, wenn sie ein ausgedehnteres Recht als die entsprechende Bestimmung der Bundesverfassung gewährt ( BGE 104 Ia 435 E. 2 mit Hinweis). Das ist im Verhältnis von Art. 22ter BV und § 9 KV nicht der Fall (Urteil des Bundesgerichts vom 27. April 1977, ZBl 79/1978 S. 20). Das Bundesgericht kann sich deshalb auf die Prüfung beschränken, ob Art. 22ter BV in der vom Beschwerdeführer behaupteten Hinsicht verletzt ist. b) Nach der Auffassung des Beschwerdeführers umfasst die durch Art. 22ter BV gewährleistete volle Entschädigung auch die Rückerstattung der Grundstückgewinnsteuer samt Nebenkosten wie Verzugszinsen und Kosten für die Bankgarantie. Dieser Teil der Enteignungsentschädigung gehöre zum vollen Verkehrswert im Sinne von § 18 lit. a EntG ; evtl. falle der unter die weiteren, dem Enteigneten verursachten Nachteile gemäss § 18 lit. c EntG . Indem das Obergericht seinerzeit bei der Festsetzung der Entschädigung die Frage der Rückerstattung der Grundstückgewinnsteuer offengelassen habe, habe es zum Ausdruck gebracht, dass mit seinem Urteil vom 12. März 1975 nicht der volle Verkehrswert festgelegt worden sei. Die Schmälerung der Entschädigung durch Steuern um mehr als 20% lasse sich nicht mehr mit der Eigentumsgarantie vereinbaren. c) Die Annahme des Beschwerdeführers, das Obergericht habe in seinem Urteil vom 12. März 1975 nicht den vollen Verkehrswert des enteigneten Landes festgelegt, indem es die Rückerstattungsfrage offengelassen habe, ist offensichtlich unrichtig. Aus diesem Entscheid geht klar hervor, dass das Gericht die betreffende Frage einzig mangels sachlicher Zuständigkeit offengelassen hat. Sodann ergibt sich aus dem Urteil, dass auf der Grundlage der sogenannten statistischen Methode der volle Verkehrswert entschädigt wurde. BGE 112 Ia 124 S. 127 Damit wurden die Ansprüche des Beschwerdeführers gemäss § 18 lit. a EntG in vollem Umfang abgegolten. d) Nach der bundesgerichtlichen Rechtsprechung zu Art. 19 lit. c des Bundesgesetzes über die Enteignung vom 20. Juni 1930, der unbestrittenermassen § 18 lit. c EntG entspricht, ist die bei einer Enteignung erhobene Grundstückgewinnsteuer dem Enteigneten nicht zurückzuvergüten. Dieser Grundsatz gilt selbst dort, wo dem Enteigneten infolge Landabtauschs kein Geldgewinn zufliesst. Er betrifft die gesamte Steuer, also auch jenen Teil, um den sie höher ausfällt, weil wegen der früheren Veräusserung ein höherer Steuersatz anzuwenden ist. Steuern sind kein Schaden, sondern öffentliche Lasten, die jedermann nach Massgabe der Gesetze zu tragen hat. Sie können deshalb auch nicht als "weiterer Nachteil" aufgefasst werden, der zu entschädigen wäre. In der Regel rechtfertigt es sich auch, dass der Enteignete die höhere Steuer zu leisten hat, da er auch früher in den Besitz des Gegenwerts des Wertzuwachses gelangt. Freilich kann der kantonale Gesetzgeber auf die Besteuerung von Liegenschaftsgewinnen bei Enteignungen verzichten; hat er das aber - wie im Kanton Luzern - nicht vorgesehen, so kann für die Steuer nicht der Entschädigungspflichtige belangt werden. In Sonderfällen kann zwar die Belastung des Enteigneten unbillig sein; stets unbillig wäre jedoch die Belastung des Enteigners, müsste dieser doch für Steuern aufkommen, die weder auf ihn zugeschnitten noch für ihn bestimmt sind. Hinzu kommt, dass bei voller Überwälzung der Grundstückgewinnsteuer auf den Enteigner der Enteignete mehr als den blossen Nachteilsausgleich erhalten würde; denn durch die Bezahlung wird eine Steuerschuld gelöscht, die ohne Enteignung weiterhin latent auf dem Grundbesitz des Enteigneten gelastet hätte, auch wenn ungewiss ist, wann der Grundstückgewinn realisiert worden wäre ( BGE 102 Ib 182 ff.; BGE 100 Ib 71 ff.). Diese im verwaltungsgerichtlichen Verfahren entwickelten Grundsätze sind ohne weiteres auch auf die vorliegende staatsrechtliche Beschwerde übertragbar. Sie zeigen, dass die Grundstückgewinnsteuern keinen weiteren Nachteil im Sinne von § 18 lit. c EntG darstellen, und dass die Verneinung einer Rückerstattungspflicht vor der Eigentumsgarantie grundsätzlich standhält. g) Der Beschwerdeführer sieht indessen darin eine Verletzung der Eigentumsgarantie, dass ihm als Architekten und Ingenieur die Grundlage für ein anspruchsvolles Bauvorhaben und damit auch die Basis für einen entsprechenden Verdienst bzw. Gewinn entzogen BGE 112 Ia 124 S. 128 worden sei. Er übersieht dabei, dass der entgangene Gewinn bei der Bemessung der Expropriationsentschädigung grundsätzlich nicht zu berücksichtigen ist. Es stand ihm frei, sich mit der auf der Grundlage des Verkehrswerts berechneten Enteignungsentschädigung Realersatz zu beschaffen, mit dem er sich als Unternehmer wirtschaftlich betätigen kann (PETER WIEDERKEHR, Die Expropriationsentschädigung, Diss. Zürich 1966, S. 105; RUDOLF MERKER, Der Grundsatz der "vollen Entschädigung" im Enteignungsrecht, Diss. Zürich 1975, S. 37; vgl. BGE 103 Ib 293 ff.). Besondere Umstände, die zu einer Abweichung von dieser Regel führen würden, sind nicht ersichtlich.</w:t>
      </w:r>
    </w:p>
    <w:p>
      <w:r>
        <w:rPr>
          <w:b/>
        </w:rPr>
        <w:t>E. 4</w:t>
      </w:r>
    </w:p>
    <w:p>
      <w:r>
        <w:t>Der Beschwerdeführer erachtet es schliesslich als Verstoss gegen den Grundsatz der Rechtsgleichheit, dass er die volle Grundstückgewinnsteuer entrichten müsse und sie nicht zurückerstattet erhalte, weil er das Ersatzgrundstück nicht im Kanton Luzern habe beschaffen können und ein Tausch wegen der Ablehnung des entsprechenden Vertrags durch den Grossen Stadtrat von Luzern nicht möglich gewesen sei. Diese Rüge ist unbegründet. Hätte der Beschwerdeführer im Kanton Luzern tauschweise ein Grundstück als Realersatz erhalten, so wäre er von der Grundstückgewinnsteuer nicht befreit worden; in diesem Fall wäre ihm lediglich ein Steueraufschub gewährt worden (§ 4 Abs. 1 Ziff. 4 des luzernischen Gesetzes über die Grundstückgewinnsteuer vom 31. Oktober 1961, Fassung vom 17. September 1974). Überdies bestand nach § 17 Abs. 1 EntG kein Anspruch auf Realersatz; der Grosse Stadtrat durfte deshalb den vorgesehenen Realersatz durch Tausch ohne weiteres ablehnen. Dass die betreffende kantonale Bestimmung als solche verfassungswidrig sei, rügt der Beschwerdeführer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