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324</w:t>
      </w:r>
    </w:p>
    <w:p>
      <w:r>
        <w:t>Bundesgericht (BGE), 1985-01-01, DE</w:t>
      </w:r>
    </w:p>
    <w:p>
      <w:r>
        <w:rPr>
          <w:b/>
        </w:rPr>
        <w:t xml:space="preserve">Quelle: </w:t>
      </w:r>
      <w:r>
        <w:t>https://mcp.opencaselaw.ch/entscheid/bge_BGE_111_V_324</w:t>
      </w:r>
    </w:p>
    <w:p>
      <w:r>
        <w:t>FR: ATF 111 V 324</w:t>
      </w:r>
    </w:p>
    <w:p>
      <w:r>
        <w:t>IT: DTF 111 V 324</w:t>
      </w:r>
    </w:p>
    <w:p>
      <w:pPr>
        <w:pStyle w:val="Heading2"/>
      </w:pPr>
      <w:r>
        <w:t>Regeste</w:t>
      </w:r>
    </w:p>
    <w:p>
      <w:r>
        <w:t>Regeste Art. 21 Abs. 6 KUVG, Art. 1 Vo VI: Zulassung zur Kassenpraxis. Die Einschränkung der Zulassung zur Kassenpraxis auf medizinische Hilfspersonen, die selbständig und auf eigene Rechnung tätig sind, ist gesetzeskonform. Art. 12 Abs. 2 Ziff. 1 lit. a und b KUVG: Leistungen bei Hauspflege. Keine Austauschbefugnis zwischen Pflichtleistungen und billigeren Nichtpflichtleistungen.</w:t>
      </w:r>
    </w:p>
    <w:p>
      <w:r>
        <w:t>Regeste Art. 21 al. 6 LAMA, art. 1 Ord. VI: Autorisation de pratiquer à la charge des caisses. Il est conforme à la loi de limiter l'autorisation de pratiquer à la charge des caisses au personnel paramédical qui exerce à titre indépendant et à son propre compte. Art. 12 al. 2 ch. 1 let. a et b LAMA: Prestations en cas de soins à domicile. Il n'existe aucun droit de recevoir, en lieu et place des prestations légales, des prestations moins coûteuses et qui ne sont pas obligatoirement à la charge des caisses-maladie.</w:t>
      </w:r>
    </w:p>
    <w:p>
      <w:r>
        <w:t>Regesto Art. 21 cpv. 6 LAMI, art. 1 Ord. VI: Autorizzazione di esercizio a carico delle casse. È conforme a legge la limitazione dell'esercizio a carico delle casse al personale paramedico attivo a titolo indipendente e per conto proprio. Art. 12 cpv. 2 cifra 1 lett. a e b LAMI: Prestazioni per cure a domicilio. Non è data facoltà di permutare prestazioni legali con prestazioni meno care che non sono obbligatoriamente a carico della cassa.</w:t>
      </w:r>
    </w:p>
    <w:p>
      <w:pPr>
        <w:pStyle w:val="Heading2"/>
      </w:pPr>
      <w:r>
        <w:t>Erwägungen</w:t>
      </w:r>
    </w:p>
    <w:p>
      <w:r>
        <w:rPr>
          <w:b/>
        </w:rPr>
        <w:t>E. 2</w:t>
      </w:r>
    </w:p>
    <w:p>
      <w:r>
        <w:t>a) Die Gemeindekrankenschwester war im vorliegenden Fall nicht selbständig und auf eigene Rechnung tätig und mithin nicht medizinische Hilfskraft im Sinne von Art. 12 Abs. 2 Ziff. 1 lit. b KUVG und Art. 1 Vo VI (SR 832.156.1). Sie war auch nicht ärztliche Angestellte, deren Tätigkeit praxisgemäss der ärztlichen Behandlung gemäss Art. 12 Abs. 2 Ziff. 1 lit. a KUVG zuzurechnen wäre ( BGE 110 V 191 , BGE 107 V 48 Erw. 2, BGE 100 V 4 Erw. 2). Ihre Tätigkeit stellt deshalb keine Leistung dar, welche die Kasse aufgrund des Krankenversicherungsgesetzes oder seiner Nebenerlasse zu übernehmen hätte. Die Berufung der Kasse auf diese rechtliche Ordnung ist entgegen der Auffassung des Beschwerdeführers keineswegs rechtsmissbräuchlich. Die Einschränkung der Zulassung auf medizinische Hilfspersonen, die selbständig und auf eigene Rechnung tätig sind (Art. 1 Vo VI), ist geltendes Recht und gesetzeskonform, so dass die Kasse - statutarische Sonderregelungen vorbehalten - zur Verweigerung von Leistungen für die streitige Hauspflege und -behandlung berechtigt und verpflichtet war. Dass der Kasse dank der Hauspflege hohe Spitalkostenvergütungen erspart blieben, begründet keinen Anspruch des Beschwerdeführers auf eine von der gesetzlichen Ordnung abweichende Behandlung. Es gibt keine Austauschbefugnis zwischen Pflichtleistungen und Nichtpflichtleistungen in der sozialen Krankenversicherung (MEYER-BLASER, Zum Verhältnismässigkeitsgrundsatz im staatlichen Leistungsrecht, Diss. Bern 1985, S. 95). Wählt ein Versicherter aus welchen Gründen auch immer eine nicht zu den gesetzlichen Pflichtleistungen gehörende Pflege und Behandlung, so hat er keinen Anspruch auf Anrechnung der dadurch eingesparten Pflichtleistungskosten. Auch aus Art. 23 KUVG ergibt sich nichts anderes. Mit dieser Bestimmung soll verhindert werden, dass die Krankenkassen zu den Pflichtleistungen zählende Verrichtungen entschädigen müssen, die unwirtschaftlich sind. Sie verleiht keine Ansprüche auf BGE 111 V 324 S. 327 Versicherungsleistungen und bedeutet insbesondere nicht, dass die Krankenkassen Nichtpflichtleistungen zu übernehmen hätten, wenn diese billiger sind als die an deren Stelle in Frage kommenden Pflichtleistungen. Dergleichen lässt sich auch nicht aus der Pflicht der Krankenkassen zu sparsamer Haushaltführung ableiten. Wohl befriedigt es in manchen Fällen nicht ganz, dass Krankenschwestern und Krankenpfleger, die im Dienste einer Gemeinde oder gemeinnützigen Institution die Hauspflege und -behandlung ausüben, zur Tätigkeit für die Krankenkassen nicht zugelassen sind und daher keine Pflichtleistungen zu begründen vermögen. Das gleiche gilt für die Tatsache, dass nach dem gesetzgeberischen Willen - in Art. 12 Abs. 2 Ziff. 1 lit. b KUVG und in der bundesrätlichen Botschaft vom 5. Juni 1961 zur Revision des KUVG (BBl 1961 I 1425f.) werden nur die Heilanwendungen erwähnt - für die spitalexterne Krankenpflege überhaupt keine Leistungen vorgesehen sind. Für eine richterliche Normenkorrektur im Sinne der Füllung einer unechten Gesetzeslücke bleibt jedoch kein Raum, da eine solche praxisgemäss nur in Frage käme, wenn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108 V 72 Erw. 2c, BGE 106 V 70 , BGE 105 V 213 Erw. 2c; MAURER, Schweizerisches Sozialversicherungsrecht, Bd. I, S. 230 mit Hinweisen). Der Hauspflege mag heute als Instrument zur Verminderung der Kosten im Gesundheitswesen besondere Aktualität zukommen. Von einem wesentlichen Wandel der Verhältnisse kann indessen nicht gesprochen werden. Eine allfällige Änderung der geltenden Ordnung wird mithin Sache des Gesetzgebers sein. In den bisherigen Bestrebungen zur Revision des Krankenversicherungsgesetzes sind die Hauspflege und die Stellung der im Dienste einer Gemeinde oder gemeinnützigen Institution stehenden Krankenschwestern und Krankenpfleger denn auch eingehend behandelt worden (siehe Bericht der Eidgenössischen Expertenkommission für die Neuordnung der Krankenversicherung vom 11. Februar 1972, S. 124-127; Bericht der Expertenkommission für die Teilrevision der Krankenversicherung vom 5. Juli 1977, S. 85-89, 151 und 162; Botschaft über die Teilrevision der Krankenversicherung vom 19. August 1981, BBl 1981 II 1143ff. und 1162 ff.). BGE 111 V 324 S. 328 Aus dem Gesagten folgt, dass nach dem KUVG kein Anspruch auf Kassenleistungen für die streitige Hauspflege besteht. Zu prüfen ist noch, ob und gegebenenfalls in welchem Masse die Statuten einen Anspruch einräumen. b) In der Grundversicherung (Abteilung A) sehen die Statuten der Krankenkasse Helvetia keine Leistungen vor für die Hauspflege, die durch Krankenpflegepersonal von Gemeinden oder gemeinnützigen Institutionen gewährt wird. Dagegen werden unter näher umschriebenen Voraussetzungen für die durch den Beizug einer Hauskrankenpflegerin entstandenen Kosten aus der Versicherungsabteilung H das halbe Spitalgeld und aus den Abteilungen HB und HU die halbe Tagespauschale vergütet, zusammen jedoch maximal Fr. 45.-- im Tag bzw. je 6 Stunden Pflege (Art. 11 Abs. 1 des Reglements für die Spitalzusatzversicherungen). Die Kasse hat hier die maximal möglichen Leistungen ausgerichtet, nämlich Fr. 1350.--. Der Beschwerdeführer macht zu Recht nicht geltend, dass ihm die Statuten und Reglemente einen höheren Anspruch einräumten. Zu weiteren Leistungen kann die Kasse nicht verpflichtet werden. Aufgrund der mit Art. 1 Abs. 2 KUVG gewährleisteten Autonomie können die Krankenkassen grundsätzlich frei darüber bestimmen, wie hoch die Leistungen aus den von ihnen betriebenen Zusatzversicherungen sein sollen. Auch hier kann von Rechtsmissbrauch oder von der Verletzung des Grundsatzes der Gegenseitigkeit nicht die Rede sein, wenn die Kasse keine höhere Tagespauschale als Fr. 45.-- ausrichtete. Nicht zu beanstanden ist schliesslich, dass die Kasse gestützt auf allgemeine Empfehlungen des Kantonalverbandes Bernischer Krankenkassen vom 14. Oktober 1982 für einzelne medizinische Verrichtungen der Krankenschwester Entschädigungen von insgesamt Fr. 159.75 zusprach. Auch hiebei besteht kein Anspruch auf höhere Leistungen.</w:t>
      </w:r>
    </w:p>
    <w:p>
      <w:r>
        <w:rPr>
          <w:b/>
        </w:rPr>
        <w:t>E. 3</w:t>
      </w:r>
    </w:p>
    <w:p>
      <w:r>
        <w:t>Die Kasse ist von Gesetzes wegen nicht verpflichtet, für die Kosten der Spitalbett-Miete aufzukommen, da diese Leistung in Art. 12 Abs. 2 Ziff. 1 KUVG nicht vorgesehen ist. Die Statuten schliessen einen Anspruch ausdrücklich aus (Art. 69 Ziff. 1 lit. a), womit sich die Kasse im Rahmen der ihr zustehenden Gestaltungsrechte gemäss Art. 1 Abs. 2 KUVG 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