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79 vom 1. Januar 1985</w:t>
      </w:r>
    </w:p>
    <w:p>
      <w:r>
        <w:t>Bundesgericht (BGE), 1985-01-01, DE</w:t>
      </w:r>
    </w:p>
    <w:p>
      <w:r>
        <w:rPr>
          <w:b/>
        </w:rPr>
        <w:t xml:space="preserve">Quelle: </w:t>
      </w:r>
      <w:r>
        <w:t>https://mcp.opencaselaw.ch/entscheid/bge_BGE_111_Ib_79</w:t>
      </w:r>
    </w:p>
    <w:p>
      <w:r>
        <w:t>FR: BGE BGE 111 Ib 79 du 1 janvier 1985</w:t>
      </w:r>
    </w:p>
    <w:p>
      <w:r>
        <w:t>IT: BGE BGE 111 Ib 79 del 1 gennaio 1985</w:t>
      </w:r>
    </w:p>
    <w:p>
      <w:pPr>
        <w:pStyle w:val="Heading2"/>
      </w:pPr>
      <w:r>
        <w:t>Regeste</w:t>
      </w:r>
    </w:p>
    <w:p>
      <w:r>
        <w:t>Regeste Art. 121 ZG; Art. 138 Abs. 2 ZV Ein für zivilrechtliche Forderungen bestelltes Pfandrecht an der Sache kann nicht hindern, dass sie als Zollpfand beschlagnahmt wird. Der Pfandnehmer hat seine Rechte im Verwertungsverfahren (Art. 122 Abs. 3 ZG) wahrzunehmen.</w:t>
      </w:r>
    </w:p>
    <w:p>
      <w:r>
        <w:t>Regeste Art. 121 LD; art. 138 al. 2 OLD La constitution d'un droit de gage pour garantir des créances du droit civil ne peut empêcher que l'objet du gage soit séquestré comme gage douanier. Le créancier-gagiste peut sauvegarder ses droits dans la procédure en réalisation du gage (art. 122 al. 3 LD).</w:t>
      </w:r>
    </w:p>
    <w:p>
      <w:r>
        <w:t>Regesto Art. 121 LD; art. 138 cpv. 2 OLD La costituzione di un diritto di pegno per garantire crediti di diritto civile non può impedire che l'oggetto del pegno sia sequestrato quale pegno doganale. Il creditore pignoratizio può salvaguardare i suoi diritti nella procedura di realizzazione del pegno (art. 122 cpv. 3 LD).</w:t>
      </w:r>
    </w:p>
    <w:p>
      <w:pPr>
        <w:pStyle w:val="Heading2"/>
      </w:pPr>
      <w:r>
        <w:t>Erwägungen</w:t>
      </w:r>
    </w:p>
    <w:p>
      <w:r>
        <w:rPr>
          <w:b/>
        </w:rPr>
        <w:t>E. 3</w:t>
      </w:r>
    </w:p>
    <w:p>
      <w:r>
        <w:t>a) Die Beschlagnahme eines Zollpfands kann auch angeordnet werden, wenn an der Sache Eigentums- oder Pfandrechte Dritter bestehen (Art. 138 Abs. 2 der Verordnung zum Zollgesetz; ZGV). Diese Massnahme - nicht aber die Verwertung ( Art. 122 Abs. 2 ZG ) - ist selbst dann zulässig, wenn der Eigentümer, der für die Zollforderung nicht persönlich haftet, geltend macht, dass der beschlagnahmte Gegenstand ohne seine Schuld zur Widerhandlung benutzt worden ist, oder dass er das Eigentum daran erworben hat, ohne von der Nichterfüllung der Zollzahlungspflicht Kenntnis zu haben. Immerhin soll die Beschlagnahme in der Regel unterbleiben, bzw. der Pfandgegenstand freigegeben werden, wenn feststeht, dass die Verwertung nicht wird durchgeführt werden können, weil ihr ein besseres Recht im Sinne von Art. 122 Abs. 2 ZG entgegengehalten werden kann ( BGE 107 Ib 95 E. 2a). b) Die Beschwerdeführerin vertritt die Auffassung, ihr Pfandrecht sei dem Eigentum im Sinne von Art. 122 Abs. 2 ZG gleichgestellt; da damit die Verwertung der Schmuckstücke ausgeschlossen sei, müsse die Beschlagnahme aufgehoben werden. Entgegen der Auffassung der Beschwerdeführerin besteht kein Grund, den Faustpfandnehmer in gleicher Weise zu privilegieren wie den nicht für die Zollforderung haftenden Eigentümer. Denn der Eigentümer hat - im Unterschied zum Pfandnehmer - ein schutzwürdiges Interesse daran, dass die Verwertung des Pfandgegenstandes unterbleibt, weil andernfalls sein Anspruch auf Naturalrestitution illusorisch würde. Demgegenüber erleidet der Faustpfandnehmer durch die Verwertung keinen Nachteil, da er sein Recht auf Befriedigung aus dem Erlös nicht verliert. Die in BGE 79 I 197 ausdrücklich offengelassene Frage, ob der Faustpfandnehmer dem Eigentümer gleichzustellen sei, ist deshalb zu verneinen. Da die Beschwerdeführerin demnach nicht berechtigt ist, sich der Verwertung zu widersetzen, muss auch ihre gegen die Beschlagnahme gerichtete Beschwerde abgewiesen werden. Unter diesen Umständen ist nicht zu prüfen, ob sie die Pfänder gutgläubig entgegengenommen hat. Es bleibt ihr unbenommen, ihre Rechte im Verwertungsverfahren wahrzunehmen, wobei ihr wiederum der Beschwerdeweg offensteht ( Art. 122 Abs. 3 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