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308 vom 1. Januar 1985</w:t>
      </w:r>
    </w:p>
    <w:p>
      <w:r>
        <w:t>Bundesgericht (BGE), 1985-01-01, DE</w:t>
      </w:r>
    </w:p>
    <w:p>
      <w:r>
        <w:rPr>
          <w:b/>
        </w:rPr>
        <w:t xml:space="preserve">Quelle: </w:t>
      </w:r>
      <w:r>
        <w:t>https://mcp.opencaselaw.ch/entscheid/bge_BGE_111_Ib_308</w:t>
      </w:r>
    </w:p>
    <w:p>
      <w:r>
        <w:t>FR: BGE BGE 111 Ib 308 du 1 janvier 1985</w:t>
      </w:r>
    </w:p>
    <w:p>
      <w:r>
        <w:t>IT: BGE BGE 111 Ib 308 del 1 gennaio 1985</w:t>
      </w:r>
    </w:p>
    <w:p>
      <w:pPr>
        <w:pStyle w:val="Heading2"/>
      </w:pPr>
      <w:r>
        <w:t>Regeste</w:t>
      </w:r>
    </w:p>
    <w:p>
      <w:r>
        <w:t>Regeste Art. 24 und 25 Fischereigesetz (FG), Art. 25 und 26 FPolV; Eindolung eines Baches und Rodung der Uferbestockung; Bewilligungspflicht, Interessenabwägung. Soll an einem Fischgewässer eine Uferbestockung gerodet werden, die als Wald zu qualifizieren ist, so ist neben der Bewilligung nach Art. 24 FG eine solche nach Art. 25 und 26 FPolV erforderlich (E. 4). Die kantonale Behörde hat beim Entscheid über die fischereirechtliche Bewilligung eine umfassende Interessenabwägung, d.h. sowohl gestützt auf Art. 25 FG als auch unter dem Gesichtspunkt von Art. 26 FPolV, vorzunehmen (E. 5).</w:t>
      </w:r>
    </w:p>
    <w:p>
      <w:r>
        <w:t>Regeste Art. 24 et 25 LPêche, art. 25 et 26 OFor; canalisation d'un ruisseau et défrichement de rives boisées; autorisation obligatoire, pesée des intérêts. Pour défricher les rives d'un cours d'eau poissonneux, considérées comme forêt, il faut une autorisation selon les art. 25 et 26 OFor, en plus de celle prévue par l'art. 24 LPêche (consid. 4). Dans sa décision relative à l'autorisation en matière de pêche, l'autorité cantonale doit procéder à une large pesée des intérêts et se placer ainsi tant du point de vue de l'art. 25 LPêche que de celui de l'art. 26 OFor (consid. 5).</w:t>
      </w:r>
    </w:p>
    <w:p>
      <w:r>
        <w:t>Regesto Art. 24 e 25 LF sulla pesca, art. 25 e 26 OVPF; canalizzazione di un ruscello e dissodamento di rive boscate; obbligo di autorizzazione, ponderazione degli interessi. Per dissodare la vegetazione ripuale, da considerare quale bosco, di un corso d'acqua pescoso, occorre un'autorizzazione ai sensi degli art. 25 e 26 OVPF, oltre quella stabilita dall'art. 24 LF sulla pesca (consid. 4). Nel decidere sull'autorizzazione in materia di pesca, l'autorità cantonale deve procedere a un'ampia ponderazione degli interessi, ossia tener conto tanto degli aspetti evocati dall'art. 25 LF sulla pesca, quanto di quelli previsti dall'art. 26 OVPF (consid. 5).</w:t>
      </w:r>
    </w:p>
    <w:p>
      <w:pPr>
        <w:pStyle w:val="Heading2"/>
      </w:pPr>
      <w:r>
        <w:t>Erwägungen</w:t>
      </w:r>
    </w:p>
    <w:p>
      <w:r>
        <w:rPr>
          <w:b/>
        </w:rPr>
        <w:t>E. 4</w:t>
      </w:r>
    </w:p>
    <w:p>
      <w:r>
        <w:t>Der Beschwerdeführer hat die Uferbestockung des Bächleins ohne Bewilligung entfernt. Die Vorinstanz sieht darin eine Verletzung von Art. 24 Abs. 1 und 2 lit. d FG . Anderseits geniesst Waldwuchs bereits den Schutz der Forstpolizeigesetzgebung des Bundes ( Art. 31 FPolG und Art. 24 ff. FPolV ). Über das gegenseitige Verhältnis dieser beiden Normgruppen ist den Materialien des jüngeren FG kein Hinweis zu entnehmen. Doch ergibt sich aus BGE 111 Ib 308 S. 310 Art. 21 des Bundesgesetzes über den Natur- und Heimatschutz vom 1. Juli 1966 (NHG) und aus der Botschaft des Bundesrates vom 12. November 1965 zu diesem Gesetz (BBl 1965 III S. 109), dass der Bundesgesetzgeber aus der Perspektive des Naturschutzes der Ufervegetation einen komplementären Schutz verschaffen wollte, der den durch das Forstrecht gewährleisteten Schutz ergänzen soll. Durch die Gesetzgebung über den Naturschutz soll also die Ufervegetation insoweit geschützt werden, als sie nicht bereits durch die Forstgesetzgebung geschützt ist. Das betrifft namentlich Schilf- und Binsenbestände, Einzelbäume und Sträucher. Handelt es sich aber um Wald im Sinne von Art. 1 FPolV , so kommt bei dessen Schutz primär die Forstgesetzgebung zur Anwendung. Soll an einem Fischgewässer eine Uferbestockung gerodet werden, die als Wald zu qualifizieren ist, so ist neben der Bewilligung nach Art. 24 FG eine solche nach Art. 25 und 26 FPolV erforderlich. Im zu beurteilenden Fall wurde eine geschlossene Eschenbestockung von 500 m2 Fläche und einer Breite von 12-15 m gerodet. Sowohl die Vorinstanz wie auch das EDI betrachten diese Bestockung nach der Definition von Art. 1 FPolV als Wald; Ufergehölze werden in Art. 1 Abs. 2 FPolV als Schutzobjekt ausdrücklich aufgeführt. Dieser Rechtsauffassung ist zuzustimmen (vgl. BGE 107 Ib 50 ff.). Der Beschwerdeführer bestreitet denn auch die Waldeigenschaft der eigenmächtig gerodeten Bestockung an sich nicht mehr; die gerodete Fläche blieb ungeachtet der rechtswidrigen Rodung Waldareal ( BGE 110 Ib 148 E. 4, BGE 104 Ib 232 ff.). Der Einwand des Beschwerdeführers, mangels eines eigentlichen Baches könne auch von einer Uferbestockung nicht die Rede sein, geht nach dem oben Gesagten fehl. Die Bestockung wäre zudem nach der Legaldefinition in Art. 1 Abs. 1 FPolV auch dann als Wald zu behandeln, wenn sie nicht als eigentliche Uferbestockung im Sinne von Art. 1 Abs. 2 FPolV zu qualifizieren wäre. Der Beschwerdeführer hat sich denn auch bereit erklärt, die gerodete Fläche nach dem Entscheid über die Bacheindolung wieder aufzuforsten.</w:t>
      </w:r>
    </w:p>
    <w:p>
      <w:r>
        <w:rPr>
          <w:b/>
        </w:rPr>
        <w:t>E. 5</w:t>
      </w:r>
    </w:p>
    <w:p>
      <w:r>
        <w:t>Der Beschwerdeführer ist ohne die erforderlichen Bewilligungen vorgegangen. Das allein wäre indessen nach der Rechtsprechung kein genügender Grund, um die Wiederherstellung des früheren Zustandes anzuordnen. BGE 111 Ib 308 S. 311 Die Vorinstanz hat daher zu Recht geprüft, ob das eigenmächtige Vorgehen auf Grund der materiellen Rechtslage nachträglich bewilligt werden könnte. Die Vorinstanz hat diese Frage nach Vornahme einer eingehenden Interessenabwägung verneint. Entgegen der Rüge des Beschwerdeführers hält diese Interessenabwägung, die mit Sorgfalt vorgenommen wurde und auch die Zustimmung der Fachbehörde des Bundes gefunden hat, der Überprüfung stand. Die öffentlichen Interessen an einer offenen Bachführung überwiegen die privaten Interessen des Beschwerdeführers an der Eindolung. Die Interessenabwägung hätte freilich nicht nur gestützt auf Art. 25 FG , sondern auch unter dem Gesichtspunkt von Art. 26 FPolV vorgenommen werden sollen. Die Sistierung des forstrechtlichen Verfahrens bis zum Ausgang des fischereirechtlichen Verfahrens war fehl am Platz und verstiess gegen den allgemeinen Rechtsgrundsatz, wonach Interessenabwägungen umfassend und durch die nämliche Behörde vorzunehmen sind ( BGE 104 Ia 181 ff.; Urteil vom 31. August 1984 i.S. der Gemeinden Wildhaus und Grabs, E. 2 am Ende). Am Ergebnis ändert dies freilich nichts, da der Regierungsrat die Schutzfunktion der Uferbestockung und deren landschaftsgestalterische Bedeutung bereits berücksichtigt hat. Der Einbezug einer umfassenden forstrechtlichen Würdigung, der im bundesgerichtlichen Verfahren nachgeholt worden ist, kann das Ergebnis der vorgenommenen Interessenabwägung nur verstärken ( BGE 108 Ib 178 ). Die Vorinstanz hat mit Grund festgestellt, dass die vom Beschwerdeführer angestrebten Schutzmassnahmen gegen diffus abfliessendes Oberflächenwasser auch ohne Eindolung des streitigen Abschnittes erreicht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