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280 vom 1. Januar 1985</w:t>
      </w:r>
    </w:p>
    <w:p>
      <w:r>
        <w:t>Bundesgericht (BGE), 1985-01-01, DE</w:t>
      </w:r>
    </w:p>
    <w:p>
      <w:r>
        <w:rPr>
          <w:b/>
        </w:rPr>
        <w:t xml:space="preserve">Quelle: </w:t>
      </w:r>
      <w:r>
        <w:t>https://mcp.opencaselaw.ch/entscheid/bge_BGE_111_Ib_280</w:t>
      </w:r>
    </w:p>
    <w:p>
      <w:r>
        <w:t>FR: BGE BGE 111 Ib 280 du 1 janvier 1985</w:t>
      </w:r>
    </w:p>
    <w:p>
      <w:r>
        <w:t>IT: BGE BGE 111 Ib 280 del 1 gennaio 1985</w:t>
      </w:r>
    </w:p>
    <w:p>
      <w:pPr>
        <w:pStyle w:val="Heading2"/>
      </w:pPr>
      <w:r>
        <w:t>Regeste</w:t>
      </w:r>
    </w:p>
    <w:p>
      <w:r>
        <w:t>Regeste Art. 7 Abs. 3, Art. 40 EntG; nachträgliche Begehren um Schutzvorrichtungen gegen Immissionen. Die Eidgenössische Schätzungskommission ist nicht kompetent, den Enteigner gestützt auf Art. 7 Abs. 3 EntG anzuhalten, Schutzvorkehren gegen Immissionen zu treffen; zuständig ist allein die Einspracheinstanz (E. 2). Begehren um Schutzvorrichtungen im Sinne von Art. 7 Abs. 3 können auch nach der Einigungsverhandlung und der Ausführung des Werkes noch gestellt werden, wenn die Notwendigkeit von Schutzvorkehren bei der Planauflage objektiv nicht voraussehbar war. Solche Begehren sind innert der in Art. 41 Abs. 1 lit. b und Abs. 2 lit. b EntG vorgesehenen sechsmonatigen Frist einzureichen (E. 3). Diese Frist ist im vorliegenden Fall eingehalten (E. 4). Sistierung des Schätzungsverfahrens bis zum Vorliegen des Entscheides über das Begehren um Schutzvorkehren (E. 5).</w:t>
      </w:r>
    </w:p>
    <w:p>
      <w:r>
        <w:t>Regeste Art. 7 al. 3, art. 40 LEx; demandes de mesures de protection contre les immissions formées hors délai. La Commission fédérale d'estimation n'est pas compétente pour contraindre l'expropriant, sur la base de l'art. 7 al. 3 LEx, à prendre des mesures de protection contre les immissions; est seule habilitée à cet effet l'autorité de décision en matière d'opposition (consid. 2). Des demandes tendant à la mise en place d'installations de protection au sens de l'art. 7 al. 3 peuvent encore être formées après l'audience de conciliation et la réalisation de l'ouvrage, lorsque la nécessité de mesures de protection n'était objectivement pas prévisible au moment du dépôt des plans. De telles demandes doivent être présentées dans le délai de six mois prévu à l'art. 41 al. 1 lettre b et al. 2 lettre b LEx (consid. 3). Ce délai est respecté dans le cas particulier (consid. 4). Suspension de la procédure d'estimation jusqu'à décision sur la demande de mesures de protection (consid. 5).</w:t>
      </w:r>
    </w:p>
    <w:p>
      <w:r>
        <w:t>Regesto Art. 7 cpv. 3, art. 40 LEspr; domande di misure di protezione contro le immissioni, proposte fuori termine. La Commissione federale di stima non è competente a obbligare l'espropriante, in base all'art. 7 cpv. 3 LEspr, a prendere misure di protezione contro le immissioni; all'uopo è esclusivamente competente l'autorità che decide sulle opposizioni (consid. 2). Le domande dirette all'installazione d'impianti di protezione ai sensi dell'art. 7 cpv. 3 LEspr possono essere proposte anche dopo l'udienza di conciliazione e l'esecuzione dell'opera se la necessità di misure di protezione non era obiettivamente prevedibile al momento del deposito dei piani. Tali domande vanno presentate entro il termine di sei mesi stabilito dall'art. 41 cpv. 1 lett. b e cpv. 2 lett. b LEspr (consid. 3). Detto termine è stato rispettato nella fattispecie concreta (consid. 4). Sospensione della procedura di stima sino a che sia stato deciso sulla domanda di misure di protezione (consid. 5).</w:t>
      </w:r>
    </w:p>
    <w:p>
      <w:pPr>
        <w:pStyle w:val="Heading2"/>
      </w:pPr>
      <w:r>
        <w:t>Erwägungen</w:t>
      </w:r>
    </w:p>
    <w:p>
      <w:r>
        <w:rPr>
          <w:b/>
        </w:rPr>
        <w:t>E. 2</w:t>
      </w:r>
    </w:p>
    <w:p>
      <w:r>
        <w:t>Der Beschwerdeführer vertritt den Standpunkt, die Schätzungskommission sei kompetent, den Enteigner gestützt auf Art. 7 Abs. 3 EntG zu verhalten, die geeigneten Vorrichtungen zum Schutze der Nachbargrundstücke vor übermässigen Immissionen zu erstellen. Dies trifft indessen nicht zu. Das Bundesgericht hat die Befugnis des Privaten, im Einspracheverfahren um den Bau von Schutzvorrichtungen im Sinne von Art. 7 Abs. 3 EntG zu ersuchen, bereits in BGE 107 Ib 389 und insbesondere in BGE 108 Ib 507 E. 3 bejaht. Im Einspracheverfahren stehen aber der Schätzungskommission und ihrem Präsidenten grundsätzlich keinerlei Entscheidbefugnisse zu. Wohl obliegt diesem im Rahmen der Einigungsverhandlung die Abklärung streitiger oder zweifelhafter Punkte ( Art. 48 EntG ) - worunter in erster Linie die Erläuterung unklarer Begehren zu verstehen ist ( BGE 110 Ib 42 E. 3a) - und hat er über die Zulässigkeit nachträglicher Einsprachen und Planänderungsbegehren zu befinden BGE 111 Ib 280 S. 283 (Art. 19 der Verordnung über die eidgenössischen Schätzungskommissionen), sofern sich das Einspracheverfahren nach dem Enteignungsgesetz richtet und nicht gemäss der Spezialgesetzgebung selbständig durchzuführen ist (vgl. BGE BGE 100 Ib 187 ff. E. 3). Dagegen hat sich der Kommissionspräsident weder mit der Instruktion der Einsprachen zu befassen, noch auch nur verbindlich festzustellen, welches das zur Einsprachenbehandlung zuständige Departement sei ( BGE 110 Ib 42 E. 3a, nicht publ. Entscheide i.S. Gemeinde Rothenthurm vom 8. Juni 1984 E. 2cc und i.S. Besmer vom 3. Januar 1985 E. 2, geschweige denn Planänderungsbegehren materiell zu prüfen und allenfalls Massnahmen im Sinne von Art. 7 EntG anzuordnen. Das Bundesgericht hat in BGE 104 Ib 352 ff. ausdrücklich festgehalten, dass nicht die Schätzungskommission, sondern die Einsprachebehörde über den Umfang von Ersatzvorkehren im Sinne von Art. 7 Abs. 2 EntG zu entscheiden habe. Das hindere die Kommission allerdings nicht daran, zu prüfen, ob die vorgesehene Ersatzmassnahme im betreffenden Falle alle Ansprüche des Enteigneten erfülle oder ob noch ein zu ersetzender Schaden verbleibe. Das gleiche gilt auch für die in Art. 7 Abs. 3 vorgeschriebenen Schutzvorkehren gegen Immissionen. Inwieweit der Werkeigentümer solche treffen muss, ist von der Einsprachebehörde zu entscheiden. Dagegen hat die Schätzungskommission darüber zu befinden, ob der Nachbar weiterhin unter übermässigen Beeinträchtigungen durch das Werk zu leiden habe und ihm hiefür eine Entschädigung zu leisten sei ( Art. 64 lit. c EntG ; HESS, Das Enteignungsrecht des Bundes, N. 3, 38 zu Art. 7 EntG ; s.a. BGE 106 Ib 236 E. 3a). Die Schätzungskommission hat sich daher zu Recht geweigert, sich mit den auf Art. 7 Abs. 3 EntG gestützten Anträgen materiell zu befassen.</w:t>
      </w:r>
    </w:p>
    <w:p>
      <w:r>
        <w:rPr>
          <w:b/>
        </w:rPr>
        <w:t>E. 3</w:t>
      </w:r>
    </w:p>
    <w:p>
      <w:r>
        <w:t>Es bleibt zu prüfen, ob das Begehren des Beschwerdeführers um Schutzvorkehren als nachträgliches Planänderungsgesuch zuzulassen und dem zuständigen Departement zu übermitteln sei (vgl. Art. 20 Abs. 1 der Verordnung über die eidgenössischen Schätzungskommissionen). a) Begehren um Schutzvorrichtungen im Sinne von Art. 7 Abs. 3 EntG sind gleich wie die Einsprachen im engeren Sinne und die Schadenersatzforderungen schriftlich und mit Begründung während der Auflagefrist einzureichen (Art. 35 und 36 in Verbindung mit Art. 30 EntG ). Nach der Eingabefrist können Einsprachen und Entschädigungsforderungen nur unter den in Art. 39-41 EntG BGE 111 Ib 280 S. 284 umschriebenen Voraussetzungen erhoben werden. So sind Einsprachen im engeren Sinne nachträglich nur noch entgegenzunehmen, wenn die Ausführung des Werkes noch nicht in Angriff genommen worden ist und die Einhaltung der Frist wegen unverschuldeter Hindernisse nicht möglich war ( Art. 39 EntG ). Andere Begehren, d.h. Begehren nach Art. 7-10 EntG (vgl. HESS, a.a.O. N. 2 zu Art. 40 EntG ), können gemäss Art. 40 EntG bis zum Schlusse der Einigungsverhandlung noch angebracht werden, falls sie wegen unverschuldeter Hindernisse innert der Eingabefrist nicht geltend gemacht werden konnten. Zweck dieser zeitlichen Beschränkung der Einsprachemöglichkeit ist, zu verhindern, dass die Planung und Ausführung eines öffentlichen Werkes in einem schon fortgeschrittenen Stadium durch nachträgliche Opposition wieder in Frage gestellt werden kann (Botschaft des Bundesrates zum Entwurfe eines Bundesgesetzes über die Enteignung, BBl 1926 II S. 48; HESS, a.a.O. N. 6 zu Art. 39 EntG ). Allerdings hat die Regelung von Art. 39 und 40 EntG durch die Revision des Art. 76 EntG im Jahre 1971 viel von ihrem Sinn eingebüsst, da nun die Bauarbeiten auf vorzeitige Besitzeinweisung hin in Angriff genommen werden können, bevor noch über die Einsprachen und Planänderungsgesuche rechtskräftig entschieden ist (vgl. Art. 76 Abs. 4 Satz 2 EntG ). Die im Gesetz vorgesehenen Fristen zur Einreichung von Einsprachen sind, wie sich aus Art. 30 Abs. 1, Art. 34 Abs. 1 lit. f, Art. 35 und Art. 39 Abs. 2 EntG ergibt, Verwirkungsfristen ( BGE 104 Ib 341 f. E. 3a; vgl. Hess, a.a.O. N. 7 zu Art. 39 EntG , N. 6 zu Art. 40 EntG ). Indessen läuft die Verwirkungsfrist nur, wenn die Verwirkungsfolge dem Enteigneten in der öffentlichen Bekanntmachung (Art. 30 Abs. 1 lit. c) oder, im abgekürzten Verfahren, in der persönlichen Anzeige ( Art. 34 Abs. 1 lit. f EntG ) angedroht wird ( BGE 105 Ib 9 E. 2a, 100 Ib 202 ff. E. 1b, BGE 92 I 178 f. E. 2). Der Fristbeginn wird zudem nach der Rechtsprechung aufgeschoben, wenn der Enteignete durch das Verhalten des Enteigners von einer rechtzeitigen Anmeldung seiner Begehren abgehalten wird, so etwa, wenn der Enteignete aufgrund von Verhandlungen mit dem Enteigner zur Annahme berechtigt ist, dieser trete auf seine Ansprüche ein (vgl. BGE 106 Ib 235 E. 2b, BGE 88 I 199 , BGE 83 II 98 ). b) Fraglich ist, ob Art. 40 EntG auch dann anwendbar sei und die Verwirkung von Begehren im Sinne von Art. 7 Abs. 3 EntG ebenfalls eintrete, wenn sich die Notwendigkeit von Schutzvorrichtungen aus den aufgelegten Plänen selbst nicht ergibt und nicht BGE 111 Ib 280 S. 285 damit gerechnet werden muss, dass nach Inbetriebnahme des Werkes übermässige Einwirkungen entstehen könnten. Die Frage ist zu verneinen. Ein Recht verwirkt, wenn der Berechtigte eine Handlung, die er nach Gesetz innert einer bestimmten Frist zu vollziehen hat, unterlässt. Es wäre aber mit rechtsstaatlichen Grundsätzen nicht vereinbar, von Unterlassung zu sprechen und ihr Verwirkungsfolgen beizulegen, wenn objektiv kein Anlass zum Handeln bestand. Gleich wie der Enteignete mit seiner Entschädigungsforderung nur säumig werden kann, wenn der Schaden eingetreten oder zuverlässig voraussehbar ist ( BGE 102 Ib 279 f.), so können auch Säumnisfolgen im Sinne von Art. 40 EntG nur eintreten, wenn mit Sicherheit oder mit aller Wahrscheinlichkeit feststeht, dass die dem Werk benachbarten Grundstücke von übermässigen Einwirkungen bedroht sind. Art. 40 EntG erfasst demnach allein die Begehren, zu deren Geltendmachung die Planauflage Anlass gab. Auf Gesuche um Schutzvorkehren, deren Notwendigkeit vor Inbetriebnahme des Werkes objektiv nicht voraussehbar war, kann sich die Vorschrift nicht beziehen. Für diese Begehren hat der Richter mangels einer gesetzlichen Ordnung selbst eine Regelung zu treffen. Dabei ist zu beachten, dass die Nachbarrechte wie die anderen dinglichen Rechte vom Enteigner nur insoweit entzogen oder beschränkt werden dürfen, als dies der Zweck erheischt ( Art. 1 Abs. 2 EntG ), und daher das Enteignungsrecht für vermeidbare Immissionen nicht beansprucht werden kann. Dies spräche dafür, den Betroffenen die Möglichkeit, Schutzvorrichtungen gegen Einwirkungen zu verlangen, unbeschränkt zu gewähren. Andererseits erfordert der Zweck des Enteignungsrechts, das ebensosehr die Interessen des Enteigners wie jene der Enteigneten zu wahren hat (vgl. BGE 109 Ib 35 mit Hinweis), dass Entschädigungs- und andere Ansprüche nur innert einer bestimmten Frist zuzulassen sind, damit die Realisierung und Finanzierung des im öffentlichen Interesse liegenden Werkes nicht unnötig verzögert und erschwert wird. Es rechtfertigt sich daher, die in Art. 41 Abs. 1 lit. b und Abs. 2 lit. b EntG getroffene Regelung für nachträgliche Entschädigungsforderungen, die sich auf einen nicht oder seinem Umfang nach nicht vorherzusehenden Schaden beziehen, auf Begehren um Schutzvorrichtungen gegen die unvoraussehbaren Folgen des Werkbetriebes analog anzuwenden. Somit gilt auch hier eine sechsmonatige Verwirkungsfrist vom Zeitpunkt an, in dem der Nachbar Kenntnis von den übermässigen Einwirkungen erhalten hat. BGE 111 Ib 280 S. 286</w:t>
      </w:r>
    </w:p>
    <w:p>
      <w:r>
        <w:rPr>
          <w:b/>
        </w:rPr>
        <w:t>E. 4</w:t>
      </w:r>
    </w:p>
    <w:p>
      <w:r>
        <w:t>Es wird von niemandem behauptet, dass der Beschwerdeführer aufgrund der aufgelegten Pläne hätte damit rechnen müssen, dass seine Liegenschaft nach Inbetriebnahme der Bahnlinie möglicherweise übermässigen Lärmimmissionen ausgesetzt sein würde. Aus den Akten ergibt sich denn auch, dass die Parzelle Schnyder nicht in unmittelbarer Nähe, sondern in einer Entfernung von rund 70 m vom neuen Bahntrasse entfernt liegt. Es ist daher davon auszugehen, dass sich eine Notwendigkeit von Schutzvorrichtungen objektiv nicht voraussehen liess. Die neue SBB-Strecke ist am 31. Mai 1981 in Betrieb genommen und im Mai 1982 der Taktfahrplan eingeführt worden, der eine gewisse Erhöhung der Zugsfrequenz zur Folge hatte. Der Untersuchungsbericht über die Schallmessungen nach Inbetriebnahme der Bahn wurde in der Gemeinde Aarburg vom 19. Dezember 1981 bis 22. Januar 1982 zur öffentlichen Einsichtnahme aufgelegt. Der Ergänzungsbericht, der sich insbesondere mit der Einführung des Taktfahrplanes befasst, ging den Gesuchstellern im Jahre 1983 zu. Peter Schnyder hat sich, wie den Akten zu entnehmen ist, erstmals mit Schreiben vom 20. Juli 1981 an den Gemeinderat Aarburg gewandt und diesen aufgefordert, die SBB zu geeigneten Lärmschutzmassnahmen zu verhalten; die Eingabe ist den SBB übermittelt worden. Während der Auflage des Messberichtes hat Schnyder seine Begehren wiederholt. Die sechsmonatige Frist ist damit auf jeden Fall eingehalten, ob nun der Fristbeginn auf die Inbetriebnahme der Bahnlinie festzusetzen sei oder ob er auf die Vorlage des Messberichtes falle, auf den die SBB die Anwohner vertrösteten, bevor sie selbst zu den Begehren um Schutzvorkehren Stellung nahmen. Unter diesen Umständen ist das Planänderungsgesuch des Beschwerdeführers dem Eidgenössischen Verkehrs- und Energiewirtschaftsdepartement zur Behandlung zu übermitteln. Zwar scheint der Schätzungskommissions-Präsident keine eigentliche Einigungsverhandlung durchgeführt zu haben, doch haben die SBB klar zu verstehen gegeben, dass sie zum Bau von Lärmschutzvorrichtungen nicht bereit sind, und würde die Rückweisung der Sache an den Präsidenten zu blossem Leerlauf führen.</w:t>
      </w:r>
    </w:p>
    <w:p>
      <w:r>
        <w:rPr>
          <w:b/>
        </w:rPr>
        <w:t>E. 5</w:t>
      </w:r>
    </w:p>
    <w:p>
      <w:r>
        <w:t>Soweit der Beschwerdeführer eventuell um Zusprechung einer Enteignungsentschädigung ersucht, wird die Verwaltungsgerichtsbeschwerde bis zum Vorliegen des Einspracheentscheides sistiert.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