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129 vom 1. Januar 1985</w:t>
      </w:r>
    </w:p>
    <w:p>
      <w:r>
        <w:t>Bundesgericht (BGE), 1985-01-01, FR</w:t>
      </w:r>
    </w:p>
    <w:p>
      <w:r>
        <w:rPr>
          <w:b/>
        </w:rPr>
        <w:t xml:space="preserve">Quelle: </w:t>
      </w:r>
      <w:r>
        <w:t>https://mcp.opencaselaw.ch/entscheid/bge_BGE_111_Ib_129</w:t>
      </w:r>
    </w:p>
    <w:p>
      <w:r>
        <w:t>FR: BGE BGE 111 Ib 129 du 1 janvier 1985</w:t>
      </w:r>
    </w:p>
    <w:p>
      <w:r>
        <w:t>IT: BGE BGE 111 Ib 129 del 1 gennaio 1985</w:t>
      </w:r>
    </w:p>
    <w:p>
      <w:pPr>
        <w:pStyle w:val="Heading2"/>
      </w:pPr>
      <w:r>
        <w:t>Regeste</w:t>
      </w:r>
    </w:p>
    <w:p>
      <w:r>
        <w:t>Regeste Internationale Rechtshilfe in Strafsachen. Art. 14 Ziff. 1 lit. b EÜR: Gegenstand des Rechtshilfegesuchs. Der ersuchende Staat hat den Rahmen und den Umfang der gewünschten Auskünfte zu umschreiben. Der ersuchte Staat darf nicht über die im Rechtshilfegesuch ausdrücklich gestellten Begehren hinausgehen.</w:t>
      </w:r>
    </w:p>
    <w:p>
      <w:r>
        <w:t>Regeste Entraide judiciaire internationale en matière pénale. Art. 14 ch. 1 let. b CEEJ: objet de la demande d'entraide. Il appartient à l'Etat requérant de définir le cadre de l'entraide et l'étendue des renseignements sollicités. L'Etat requis n'a pas à aller au-delà des demandes exprimées avec précision dans la commission rogatoire.</w:t>
      </w:r>
    </w:p>
    <w:p>
      <w:r>
        <w:t>Regesto Assistenza giudiziaria internazionale in materia penale. Art. 14 n. 1 lett. b CEAG: oggetto della domanda di assistenza. Spetta allo Stato richiedente di delimitare il quadro dell'assistenza e l'estensione delle informazioni sollecitate. Allo Stato richiesto non è consentito di fornire informazioni eccedenti quanto espressamente domandato nella commissione rogatoria.</w:t>
      </w:r>
    </w:p>
    <w:p>
      <w:pPr>
        <w:pStyle w:val="Heading2"/>
      </w:pPr>
      <w:r>
        <w:t>Erwägungen</w:t>
      </w:r>
    </w:p>
    <w:p>
      <w:r>
        <w:rPr>
          <w:b/>
        </w:rPr>
        <w:t>E. 4</w:t>
      </w:r>
    </w:p>
    <w:p>
      <w:r>
        <w:t>Aux termes de l'art. 14 ch. 1 lettre b CEEJ, toute demande d'entraide judiciaire internationale en matière pénale doit mentionner notamment son objet (cf. aussi art. 28 al. 2 lettre b EIMP). Cette règle signifie qu'il appartient à l'Etat requérant de définir le cadre de la coopération qui lui est nécessaire et, partant, l'étendue des renseignements sollicités. Cela se justifie pour la raison que l'autorité qui conduit le procès au fond est la mieux à même d'apprécier la pertinence d'une preuve pour la découverte de la vérité. Le corollaire de cette règle est que l'Etat requis doit s'en tenir au cadre tracé dans la demande d'entraide et n'a pas à aller au-delà des requêtes qui y sont exprimées. Cette limite formelle doit être respectée avec une rigueur particulière lorsque sont en jeu, comme en l'espèce, les intérêts de tiers. La commission rogatoire du 11 octobre 1984 a défini clairement l'objet de la demande. Celui-ci n'a pas été modifié ou étendu par la suite. En ce qui concerne le compte litigieux, l'Etat requérant demande à être renseigné d'une part sur la date de son ouverture et sur l'identité de ses titulaires et, d'autre part, sur les mouvements de ce compte intéressant directement le prévenu X. Les autorités cantonales d'exécution devaient s'en tenir à cette mission définie sans équivoque. Elles ne s'y sont pas arrêtées puisqu'elles ont décidé de transmettre purement et simplement à l'autorité requérante tous les relevés du compte pour les années 1983 et 1984. La décision attaquée sera annulée pour ce motif et dans cette mesure restreinte. Il appartiendra à l'autorité cantonale de s'informer auprès de la banque des opérations passées sur le compte des recourants dans lesquelles X. serait impliqué directement; ces renseignements pourront lui être donnés sans difficulté par la transmission des avis de crédit, de débit ou de transfert de fonds relatifs à ces opérations. Ce n'est que si l'autorité requérante décidait d'étendre sa demande du 11 octobre 1984 que des renseignements complets devraient, le cas échéant, lui être donnés sur la totalité des opérations concernant le compte litigieux accomplies pendant les années 1983 et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