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231 vom 1. Januar 1985</w:t>
      </w:r>
    </w:p>
    <w:p>
      <w:r>
        <w:t>Bundesgericht (BGE), 1985-01-01, FR</w:t>
      </w:r>
    </w:p>
    <w:p>
      <w:r>
        <w:rPr>
          <w:b/>
        </w:rPr>
        <w:t xml:space="preserve">Quelle: </w:t>
      </w:r>
      <w:r>
        <w:t>https://mcp.opencaselaw.ch/entscheid/bge_BGE_111_Ia_231</w:t>
      </w:r>
    </w:p>
    <w:p>
      <w:r>
        <w:t>FR: BGE BGE 111 Ia 231 du 1 janvier 1985</w:t>
      </w:r>
    </w:p>
    <w:p>
      <w:r>
        <w:t>IT: BGE BGE 111 Ia 231 del 1 gennaio 1985</w:t>
      </w:r>
    </w:p>
    <w:p>
      <w:pPr>
        <w:pStyle w:val="Heading2"/>
      </w:pPr>
      <w:r>
        <w:t>Regeste</w:t>
      </w:r>
    </w:p>
    <w:p>
      <w:r>
        <w:t>Regeste Abstrakte Normkontrolle. Persönliche Freiheit. Gesetzliche Grundlage. 1. Die persönliche Freiheit schützt auch die besonderen Gefühlsbeziehungen der Angehörigen zu einem Verstorbenen. Diese können sich somit gegen einen ungerechtfertigten Eingriff am Leichnam zur Wehr setzen (E. 3) (Präzisierung der Rechtsprechung). 2. Soweit Art. 8 Abs. 3 des Reglements des Genfer Staatsrats vom 17. September 1984 betreffend die Feststellung des Todes und die Eingriffe an Leichen die Autopsie aus anderen als polizeilichen Gründen vorsieht und zu einer Beschränkung des Rechts der Angehörigen führt, über den Leichnam zu bestimmen, fehlt ihm die nötige gesetzliche Grundlage; insoweit verletzt die Bestimmung die persönliche Freiheit (E. 4 und 5a). 3. Die Beschränkung des Rechts, über den Leichnam einer Person zu bestimmen, setzt auch dann ein Gesetz im formellen Sinn voraus, wenn die Person in einem öffentlichen Spital gestorben ist, d. h. wenn zwischen dem Verstorbenen und dem Staat ein besonderes Rechtsverhältnis bestand (E. 5b).</w:t>
      </w:r>
    </w:p>
    <w:p>
      <w:r>
        <w:t>Regeste Contrôle abstrait des normes. Liberté personnelle. Base légale. 1. La liberté personnelle protège aussi le sentiment de piété des parents et, partant, leur droit de s'opposer à une intervention injustifiée sur la dépouille d'un défunt (consid. 3) (précision de la jurisprudence). 2. En tant qu'il constitue une mesure de contrainte entraînant une restriction au droit de disposer d'un cadavre - non fondée sur le pouvoir général de police -, l'art. 8 al. 3 du règlement du Conseil d'Etat genevois du 17 septembre 1984 relatif à la constatation des décès et aux interventions sur les cadavres humains ne repose pas sur une base légale suffisante; il viole ainsi la garantie de la liberté personnelle (consid. 4 et 5a). 3. Pour restreindre le droit individuel de disposer du cadavre d'une personne décédée dans un établissement public médical, l'exigence d'une loi au sens formel reste nécessaire, malgré l'existence d'un rapport de droit spécial (consid. 5b).</w:t>
      </w:r>
    </w:p>
    <w:p>
      <w:r>
        <w:t>Regesto Controllo astratto delle norme. Libertà personale. Base legale. 1. La libertà personale tutela anche il sentimento di pietà dei familiari e, pertanto, il loro diritto d'opporsi a un intervento ingiustificato sul corpo di un defunto (consid. 3) (precisazione della giurisprudenza). 2. Nella misura in cui costituisce un provvedimento imperativo comportante una restrizione del diritto di disporre di un cadavere - non fondata sul potere generale di polizia -, l'art. 8 cpv. 3 del regolamento del Consiglio di Stato ginevrino del 17 settembre 1984 relativo all'accertamento dei decessi e agli interventi sui cadaveri umani è privo di una base legale sufficiente; esso viola quindi la garanzia della libertà personale (consid. 4, 5a). 3. Per limitare il diritto individuale di disporre del cadavere di una persona deceduta in un ospedale pubblico occorre una legge in senso formale, nonostante l'esistenza di un rapporto giuridico speciale tra la persona defunta e l'ente pubblico (consid. 5b).</w:t>
      </w:r>
    </w:p>
    <w:p>
      <w:pPr>
        <w:pStyle w:val="Heading2"/>
      </w:pPr>
      <w:r>
        <w:t>Erwägungen</w:t>
      </w:r>
    </w:p>
    <w:p>
      <w:r>
        <w:rPr>
          <w:b/>
        </w:rPr>
        <w:t>E. 3</w:t>
      </w:r>
    </w:p>
    <w:p>
      <w:r>
        <w:t>a) La liberté personnelle, droit constitutionnel non écrit, imprescriptible et inaliénable, donne fondamentalement à l'individu le droit d'aller et de venir et le droit au respect de son intégrité corporelle ( ATF 109 Ia 279 consid. 4a et les arrêts cités). Elle le protège, en outre, dans l'exercice de sa faculté d'apprécier BGE 111 Ia 231 S. 233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 ATF 101 Ia 346 consid. 7a et arrêts cités; ANDRÉ GRISEL, La liberté personnelle et les limites du pouvoir judiciaire, dans Revue internationale de droit comparé, 1975, p. 549, 570; HANS DRESSLER, Der Schutz der persönlichen Freiheit in der Rechtsprechung des schweizerischen Bundesgerichts, in ZB1, 1980, p. 377-379). b) La liberté personnelle oblige le détenteur de la puissance publique à un comportement envers le citoyen, qui soit compatible avec le respect de sa personnalité. Elle protège intégralement la dignité de l'homme et sa valeur propre. L'application de cette norme de comportement ne se limite pas à la durée de la vie des individus. Elle s'étend au-delà du décès. Toute personne a ainsi le droit de déterminer le sort de sa dépouille après sa mort. Cette prétention comporte notamment une liberté de choix, dans le cadre tracé par la loi et l'ordre public, quant à la forme des funérailles et au mode d'inhumation, l'être humain ayant, quel que soit le rang qu'il a occupé dans la société, le droit consacré par l' art. 53 al. 2 Cst. à un enterrement et à une sépulture décents ( ATF 98 Ia 523 consid. 8c et les arrêts cités). Il en découle naturellement que le droit constitutionnel s'oppose à toute profanation d'un cadavre humain et, partant, à toute intervention illicite sur lui. Cette interdiction trouve, au demeurant, sa protection pénale à l' art. 262 CP . Le respect du défunt et l'intangibilité de son corps, ainsi concrétisés dans le droit positif, ont leur fondement dans les conceptions éthiques ou religieuses relatives à la signification de la mort. Il appartient en premier lieu au défunt de décider du sort de sa dépouille dans les limites de la loi, de l'ordre public et des bonnes moeurs. Il n'est possible de passer outre à cette volonté, qui est la mise en oeuvre d'un droit fondamental, que si sa transgression se justifie par un intérêt prépondérant et pour autant qu'elle respecte le principe de la proportionnalité. En l'absence d'une décision du défunt, ses parents et ses proches peuvent avoir, BGE 111 Ia 231 S. 234 dans les mêmes limites, une certaine prétention à disposer du sort de son cadavre. Bien que, d'un point de vue privatiste, ce droit soit comparable au droit de propriété, il n'est pas régi par les droits réels, mais est une émanation des droits généraux de la personnalité ( art. 28 CC ). Il est fondé sur les rapports étroits qu'ont eus les intéressés avec le défunt et protège les relations sentimentales qui en résultent. La jurisprudence a précisé que ce pouvoir subsidiaire de décision doit être exercé, en première ligne, par celui qui était le plus étroitement lié avec le défunt et qui a été de ce chef le plus sensibilisé par sa disparition ( ATF 101 II 190 ss consid. 5 et les références). On peut, en conclusion, admettre que la garantie constitutionnelle de la liberté personnelle protège également le sentiment de piété des parents et, en conséquence, le droit de ceux-ci de s'opposer à une intervention injustifiée sur la dépouille d'un défunt. c) A l'instar des autres droits individuels, la liberté personnelle peut être limitée par la nécessité de sauvegarder un intérêt public prépondérant. De telles restrictions doivent, conformément au principe de la proportionnalité, ne pas aller au-delà de ce qu'exige l'intérêt public considéré. Elles doivent en outre reposer sur une base légale suffisante (THOMAS COTTIER, Die Verfassung und das Erfordernis der gesetzlichen Grundlage, thèse Berne 1983, p. 53), sous réserve des mesures exceptionnelles que l'autorité peut prendre en vertu de son pouvoir de police. Enfin, comme tout autre droit fondamental, la liberté personnelle ne saurait être complètement supprimée ou vidée de son contenu par les restrictions légales qui peuvent lui être apportées dans l'intérêt public ( ATF 104 Ia 486 /487 et les arrêts cités). d) Le contenu de l'art. 8 al. 3 du règlement ne se limite pas aux deux cas exceptionnels énumérés à l'art. 7 al. 4 lettres a et b du règlement (autopsie pratiquée sur réquisition d'un officier de police, d'une autorité judiciaire ou sur ordre des autorités sanitaires dans l'intérêt de l'hygiène publique); il ne se restreint pas davantage à l'hypothèse - plutôt théorique - où une autopsie pourrait, en l'absence d'une législation, être ordonnée au titre de mesure de police sur la seule base du pouvoir général de police de l'Etat. Selon l'autorité intimée, ce texte a également été conçu pour éviter que l'opposition des intéressés n'entrave la recherche scientifique à laquelle sont aussi voués les établissements hospitaliers universitaires du canton ( art. 2 lettre b LEPM ); elle a ainsi expliqué qu'en dépit d'une opposition, une autopsie est BGE 111 Ia 231 S. 235 envisageable pour mettre au point un traitement futur, pour faire avancer de manière décisive des recherches permettant de sauver la vie d'autres patients ou encore en vue d'obtenir un résultat thérapeutique évident; à titre d'exemple, elle s'est référée aux conflits d'intérêts inévitables qui peuvent exister entre le droit des proches d'un défunt à la libre disposition de son cadavre et le droit d'un malade à la guérison par le moyen d'une transplantation d'organe (cf. ATF 101 II 197 ss consid. 6; ATF 98 Ia 524 consid. 8c). Ainsi, la norme litigieuse tend à sauvegarder les intérêts généraux de la santé publique; elle est aussi envisagée comme un moyen de prévention générale; enfin, elle est un instrument à disposition de la recherche scientifique. Certes ces objectifs sont sans doute d'intérêt public et éminemment dignes de considération; il n'en demeure pas moins que le moyen proposé pour les atteindre représente une mesure de contrainte entraînant une restriction au droit de disposer d'un cadavre et, partant, à la liberté personnelle des intéressés. L'art. 8 al. 3 du règlement doit, dès lors, constituer lui-même ou se fonder sur une base légale suffisante.</w:t>
      </w:r>
    </w:p>
    <w:p>
      <w:r>
        <w:rPr>
          <w:b/>
        </w:rPr>
        <w:t>E. 5</w:t>
      </w:r>
    </w:p>
    <w:p>
      <w:r>
        <w:t>a) Le règlement ne comporte pas de préambule indiquant les dispositions législatives sur lesquelles le Conseil d'Etat genevois s'est basé pour ordonner la pratique des autopsies. Dans sa réponse au recours, l'autorité intimée tente, en vain, de se référer aux art. 11 et 17 de la loi fédérale du 18 décembre 1970 sur la lutte contre les maladies transmissibles de l'homme (RS 818.101). En effet, ces textes légaux poursuivent des objectifs plus limités que ceux visés par la norme critiquée; la première de ces dispositions ne pose que le principe de la compétence des cantons de prendre les mesures propres à lutter contre les maladies transmissibles; la seconde prescrit simplement que les personnes placées sous surveillance médicale en vertu de l'art. 15, peuvent être tenues de se prêter à des examens médicaux et à des prélèvements pour analyses, si ces mesures sont nécessaires pour prévenir la propagation d'une maladie transmissible. L'exécutif cantonal ne peut davantage s'appuyer sur l'ordonnance du Conseil fédéral du 17 juin 1974 sur le transport et la sépulture de cadavres (RS 818.61), dont les mesures ne concernent que les cadavres présentant un danger de contagion ainsi que les transports des cadavres en provenance ou à destination de l'étranger. L'intimé fait aussi appel à l' art. 125 Cst. gen. qui institue la compétence du Conseil d'Etat d'édicter les règlements de police dans les limites fixées par la loi ainsi que d'en ordonner et d'en surveiller l'exécution. BGE 111 Ia 231 S. 236 Cet argument est dénué de pertinence. Si le Tribunal fédéral a pu admettre que la notion de police au sens de cette disposition du droit constitutionnel cantonal était plus large que celle comprise dans la "clause générale de police", il n'en demeure pas moins que la disposition critiquée se situe dans un contexte législatif différent du règlement du 29 septembre 1951 sur la délivrance des certificats de bonne vie et moeurs, dont la constitutionnalité était alors soumise au Tribunal fédéral ( ATF 100 Ia 196 consid. 4b). En l'occurrence, on ne saurait soutenir sérieusement que l' art. 125 Cst. gen. puisse fonder directement la compétence du Conseil d'Etat de restreindre la liberté personnelle des citoyens en vue de favoriser, de manière générale, sa politique de la santé publique. Il résulte de ce qui précède que la disposition critiquée ne repose formellement ni sur une règle du droit fédéral ni sur une délégation législative cantonale. b) L'autorité intimée soutient par ailleurs que, même si l'on considère l'art. 8 al. 3 du règlement comme une norme primaire, il s'agirait d'une base légale suffisante pour restreindre le droit individuel de disposer d'un cadavre d'une personne décédée dans un établissement public médical. Cette personne se trouverait en effet vis-à-vis de l'Etat dans un rapport de droit spécial impliquant des limitations à la liberté individuelle nécessitées par le but de la relation d'usage et par le bon fonctionnement de l'établissement hospitalier. L' art. 5 al. 3 LEPM plaçant les établissements publics médicaux sous la surveillance et le contrôle du Conseil d'Etat, celui-ci aurait, en adoptant la réglementation critiquée, simplement rempli le mandat qui lui est donné par l' art. 116 Cst. gen. d'exécuter des lois et de prendre à cet effet les règlements et arrêtés nécessaires. aa) Aux termes de l' art. 5 al. 1 LEPM , les établissements publics médicaux sont des établissements de droit public dotés de la personnalité juridique; de ce fait, le patient qui entre dans un tel établissement pour se faire soigner est lié à l'Etat par un rapport de droit public. S'il y décède, la licéité des interventions qui pourraient y être pratiquées sur son cadavre ne doit donc pas être appréciée selon les règles du droit privé qui ont leur base dans la protection de la personnalité instituée à l' art. 28 CC . La possibilité pour le personnel médical de pratiquer de telles interventions n'en est pas moins limitée tant par le droit constitutionnel fédéral - en particulier par la garantie de la liberté personnelle ( ATF 98 Ia 521 consid. 8a BGE 111 Ia 231 S. 237 - ou cantonal, que par le droit public fédéral ou cantonal de niveau législatif ou réglementaire. Aussi, le Tribunal fédéral a-t-il abandonné sa jurisprudence ancienne selon laquelle les actes limitant la liberté et les droits des personnes liées à l'Etat par un rapport de droit spécial n'étaient pas soumis à l'exigence d'une base légale ( ATF 106 Ia 282 consid. 3d et les références). Si l'autorité administrative compétente peut réglementer les relations ordinaires de l'établissement public avec ses usagers ou prescrire les mesures nécessaires à la bonne marche de l'établissement ou au but qu'il poursuit, les règles ainsi adoptées ne doivent toutefois pas se heurter à des dispositions prises par le législateur lui-même. La fixation des droits et des obligations les plus importants des personnes en cause reste soumise à l'exigence d'une base légale claire ( ATF 103 Ia 295 consid. 4a et les arrêts cités). Une telle exigence n'est pas nécessaire pour imposer des charges et des restrictions qui découlent directement de l'existence du statut particulier ( ATF 106 Ia 281 ; ANDRÉ GRISEL, Traité de droit administratif, p. 318). Ces restrictions doivent néanmoins respecter les principes de l'égalité de traitement et de la proportionnalité ( ATF 98 Ia 366 ). bb) Le patient soigné dans un établissement hospitalier public se trouve, avec l'Etat, dans un rapport de subordination pour tout ce qui concerne, notamment, la discipline interne ou le tarif des prestations; le droit au libre choix d'un médecin traitant étranger à l'établissement n'est également pas reconnu; de même le patient doit se soumettre aux conditions de nourriture et de logement et ne peut poser des exigences particulières qui seraient en contradiction avec les disponibilités prévues par l'établissement. De telles restrictions découlent non seulement des nécessités du fonctionnement d'un hôpital public, mais aussi du principe de l'égalité de traitement que l'Etat doit respecter dans l'administration de promotion (Leistungsverwaltung). En revanche, à l'égard des actes médicaux proprement dits, il n'existe aucune raison pour que la liberté personnelle d'un patient admis dans un établissement hospitalier public soit restreinte dans une mesure plus étendue que ne l'est celle du patient soigné dans un établissement hospitalier privé. En leur qualité d'organes d'un établissement public, les médecins ne disposent pas, sur ce point précis, de pouvoirs de décision plus étendus que ceux dont jouissent leurs collègues exerçant leur activité sur la base d'un contrat de droit privé BGE 111 Ia 231 S. 238 (cf. ATF 108 II 62 /63; HANS JECHT, Die öffentliche Anstalt, Wandlung und gegenwärtige Struktur, Berlin 1963, p. 113 à 117, JEAN DUBOIS DE GODUSSON, L'usager du service public administratif, Paris 1979, p. 58 ss, notamment p. 59 n. 9). La liberté de décision du patient ne saurait dans ce domaine être différente selon qu'il séjourne dans un établissement hospitalier public ou privé. c) Ce qui est vrai pour les actes médicaux proprement dits, doit également l'être pour l'autopsie de la dépouille d'une personne décédée en milieu hospitalier, la liberté personnelle du patient s'étendant aussi au droit de disposer de son cadavre et d'en préserver l'intangibilité. Une réglementation administrative de cet acte ne peut donc être adoptée sur la seule base du rapport de droit spécial existant entre un établissement public hospitalier et ses usagers. Peu importe que la conception contraire semble avoir prévalu dans les règlements antérieurs édictés en la matière par l'autorité intimée. L'examen de ceux-ci démontre tout au plus combien le concept de la liberté personnelle a évolué en parallèle avec le développement des moyens dont disposent aujourd'hui la science et la technique.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