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196 vom 1. Januar 1985</w:t>
      </w:r>
    </w:p>
    <w:p>
      <w:r>
        <w:t>Bundesgericht (BGE), 1985-01-01, DE</w:t>
      </w:r>
    </w:p>
    <w:p>
      <w:r>
        <w:rPr>
          <w:b/>
        </w:rPr>
        <w:t xml:space="preserve">Quelle: </w:t>
      </w:r>
      <w:r>
        <w:t>https://mcp.opencaselaw.ch/entscheid/bge_BGE_111_Ia_196</w:t>
      </w:r>
    </w:p>
    <w:p>
      <w:r>
        <w:t>FR: BGE BGE 111 Ia 196 du 1 janvier 1985</w:t>
      </w:r>
    </w:p>
    <w:p>
      <w:r>
        <w:t>IT: BGE BGE 111 Ia 196 del 1 gennaio 1985</w:t>
      </w:r>
    </w:p>
    <w:p>
      <w:pPr>
        <w:pStyle w:val="Heading2"/>
      </w:pPr>
      <w:r>
        <w:t>Regeste</w:t>
      </w:r>
    </w:p>
    <w:p>
      <w:r>
        <w:t>Regeste Stimmrechtsbeschwerde. Grundsatz der Einheit der Materie. 1. Begriff und Bedeutung (E. 2b). 2. Keine Verletzung des Grundsatzes der Einheit der Materie durch die Volksabstimmung im Kanton Zürich über das "Gesetz über die Änderung der Aufgabenteilung zwischen dem Kanton und den Gemeinden sowie über den Lastenausgleich mit den Städten Zürich und Winterthur" (E. 3).</w:t>
      </w:r>
    </w:p>
    <w:p>
      <w:r>
        <w:t>Regeste Recours pour violation du droit de vote. Principe de l'unité de la matière. 1. Notion et signification (consid. 2b). 2. Le vote populaire concernant la "Loi sur la modification du partage des tâches entre le canton et les communes, ainsi que sur la péréquation des charges avec les villes de Zurich et Winterthour" ne viole pas le principe de l'unité de la matière (consid. 3).</w:t>
      </w:r>
    </w:p>
    <w:p>
      <w:r>
        <w:t>Regesto Ricorso per violazione del diritto di voto. Principio dell'unità della materia. 1. Nozione e senso (consid. 2b). 2. Non viola il principio dell'unità della materia la votazione popolare del cantone di Zurigo concernente "la legge sulla modifica della ripartizione dei compiti tra il cantone e i comuni, come pure sulla perequazione degli oneri con le città di Zurigo e di Winterthur" (consid. 3).</w:t>
      </w:r>
    </w:p>
    <w:p>
      <w:pPr>
        <w:pStyle w:val="Heading2"/>
      </w:pPr>
      <w:r>
        <w:t>Erwägungen</w:t>
      </w:r>
    </w:p>
    <w:p>
      <w:r>
        <w:rPr>
          <w:b/>
        </w:rPr>
        <w:t>E. 2</w:t>
      </w:r>
    </w:p>
    <w:p>
      <w:r>
        <w:t>Mit der Stimmrechtsbeschwerde wird die Verletzung des Grundsatzes der Einheit der Materie gerügt. a) Bei Stimmrechtsbeschwerden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Argumentation der obersten kantonalen Behörde an; als solche gelten das Parlament und das Volk ( BGE 109 Ia 47 E. 3b mit Hinweisen). b) Der Grundsatz der Einheit der Materie ist im zürcherischen Recht nur hinsichtlich der Volksinitiative ausdrücklich verankert. Nach § 4 Abs. 1 Ziff. 4 des Gesetzes über das Vorschlagsrecht des Volkes vom 1. Juni 1969 ist eine Initiative ungültig, "die Begehren BGE 111 Ia 196 S. 198 verschiedener Art enthält, die keinen inneren Zusammenhang aufweisen, es sei denn, dass es sich um eine Initiative auf Gesamtrevision der Staatsverfassung handelt". Der Grundsatz gilt jedoch auch allgemein von Bundesrechts wegen. Das vom Verfassungsrecht des Bundes gewährleistete politische Stimmrecht gibt dem Bürger unter anderem Anspruch darauf, dass kein Abstimmungsergebnis anerkannt wird, das nicht den freien Willen der Stimmbürger zuverlässig und unverfälscht zum Ausdruck bringt ( BGE 108 Ia 157 E. 3b). Daraus wird unter anderem das generell gültige Prinzip der Einheit der Materie abgeleitet, wonach verschiedene Materien nicht zu einer Abstimmungsvorlage verbunden werden dürfen ( BGE 104 Ia 223 E. 2b mit Hinweisen). Das Bundesgericht stellt bei der Konkretisierung des Grundsatzes der Einheit der Materie an eine behördliche Vorlage weniger strenge Anforderungen als an ein Volksbegehren. Der Grund dafür liegt darin, dass es neben der in beiden Fällen angestrebten Gewährleistung des politischen Stimmrechts bei den Initiativen zusätzlich darum geht, die missbräuchliche Ausübung des Initiativrechts zu verhindern, da die Vereinigung mehrerer Postulate die Unterschriftensammlung übermässig erleichtert ( BGE 99 Ia 182 E. 3b mit Hinweisen). Das Prinzip der Einheit der Materie hat sodann in den verschiedenen Bereichen politischer Willensbildung unterschiedliches Gewicht. So besteht die weiteste Gestaltungsfreiheit im Bereich der Gesetzesvorlage. Dabei ist der Grundsatz gewahrt, sofern mit dem fraglichen Gesetz eine bestimmte Materie geregelt werden soll und die einzelnen, zu diesem Zweck aufgestellten Vorschriften zueinander in einer sachlichen Beziehung stehen. Der Stimmbürger hat mithin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mit einzelnen Vorschriften nicht einverstanden ist ( BGE 99 Ia 646 E. 5b mit Hinweisen). Das Prinzip der Einheit der Materie überlässt schliesslich der zuständigen Behörde vielfach einen Gestaltungsspielraum. Von Ausnahmen abgesehen, die hier nicht zutreffen, steht es den Kantonen frei, einzelne Postulate, die einer einheitlichen Materie entsprechen, gemeinsam oder gesondert zur Abstimmung zu bringen. Der Grundsatz verbietet bloss, verschiedene Fragen ohne inneren BGE 111 Ia 196 S. 199 Zusammenhang zu vereinigen, nicht aber, verschiedene Fragen mit innerem Zusammenhang zu trennen. Steht sowohl die Möglichkeit einer einheitlichen wie einer getrennten Abstimmung offen, hat der Stimmbürger keinen verfassungsmässigen Anspruch darauf, dass die Behörde sich für diese oder jene Variante entscheidet.</w:t>
      </w:r>
    </w:p>
    <w:p>
      <w:r>
        <w:rPr>
          <w:b/>
        </w:rPr>
        <w:t>E. 3</w:t>
      </w:r>
    </w:p>
    <w:p>
      <w:r>
        <w:t>Einsparungen durch Verwaltungsvereinfachungen, Verminderung des administrativen Aufwands der Subventionswirtschaft." Einheitliches Anliegen des Gesetzes ist die verbesserte Lastenverteilung zwischen den einzelnen Gemeinwesen. So sollen die Kernstädte Zürich und Winterthur durch eine kantonale Subventionierung ihrer Verkehrsbetriebe entlastet (Art. I ALG) und der allgemeine Finanzausgleich verbessert (Art. II ALG) werden. Sodann ist vorgesehen, dass der Kanton auf einen Anteil an den Billettsteuern der Gemeinden verzichtet (Art. III ALG). Im weitern sollen die Gemeinden von den Aufgaben der Berufsbildung entlastet werden (Art. IV ALG). Schliesslich sieht das Gesetz vor, die Lastenverteilung zwischen Kanton und Gemeinden im Bereich des Volksschul- und Kindergartenwesens neu zu regeln (Art. V bis VII ALG). Es ist offensichtlich und wird von den Beschwerdeführern dem Grundsatz nach auch nicht bestritten, dass all diese Neuordnungen in einem finanzpolitischen Sachzusammenhang stehen. Die einzelnen Massnahmen sind darauf ausgerichtet, ein gemeinsames Ziel - eine bessere innerkantonale Finanzordnung - zu erreichen. Der Grundsatz der Einheit der Materie ist somit gewahrt. Der Kanton Zürich war daher unter dem Blickwinkel des verfassungsmässig garantierten politischen BGE 111 Ia 196 S. 200 Stimmrechts befugt, die einzelnen Massnahmen dem Stimmbürger in einer einheitlichen Vorlage gesamthaft zur Abstimmung zu unterbreiten. Dass gegebenenfalls auch die Möglichkeit bestanden hätte, die Vorlage aufzuteilen und mehrere Abstimmungsfragen zu stellen, ändert an der Zulässigkeit des gewählten Vorgehens nichts. Nach dem Gesagten besteht kein Anspruch der Stimmbürger, dass die kantonale Behörde sich von zwei möglichen Varianten für die eine oder die andere entscheidet. b) Mit der Stimmrechtsbeschwerde wird die gerügte Verletzung des Prinzips der Einheit der Materie nicht damit begründet, dass mehrere finanzpolitische Postulate in einem einheitlichen Erlass vereinigt wurden. Beanstandet wird vielmehr, dass dem Kanton gleichzeitig die Möglichkeit eröffnet wird, bisher privat betriebene Berufsschulen unter bestimmten Voraussetzungen zu übernehmen. Diese Argumentation verkennt, dass die kaufmännischen Schulen nur einen Teil der allgemeinen Berufsschulen ausmachen und in das Gesamtsystem der Berufsbildung integriert sind. Dieses System aber weist nach der bisherigen Ordnung eine differenzierte Struktur auf. So werden die gewerblich-industriellen Berufsschulen allgemein durch die Gemeinden des Standortes betrieben und getragen. Ausserkommunale Berufsschulen dieser Richtung bilden die Ausnahmen (z.B.: Berufsschule Horgen, getragen durch einen privaten Verein; Schweizerische Frauenfachschule Zürich, getragen durch eine öffentlichrechtliche Anstalt; Luftverkehrsschule Swissair; Berufsschule Sulzer). Demgegenüber haben die kaufmännischen Berufsschulen durchwegs eine private Trägerschaft, jene der lokalen kaufmännischen Vereine. Im Vernehmlassungsverfahren, das dem Erlass des Gesetzes vorangegangen ist, verlangten siebzig Gemeinden eine Übernahme der Berufsschulen durch den Kanton. Die Aufgabenentflechtung im Berufsbildungswesen wurde als erstrangiges Anliegen bezeichnet, da die Gemeinden vorab die massiven finanziellen Belastungen als unverhältnismässig zur praktisch fehlenden Autonomie in der Betriebsgestaltung der Schulen beanstandeten (Vernehmlassungsbericht der Finanzdirektion des Kantons Zürich zur Aufgabenteilung zwischen Kanton und Gemeinden vom Juli 1981, S. 23 ff.). Der angenommene Erlass trägt diesen Anliegen Rechnung. Zwischen den beteiligten Gemeinwesen war dabei offenbar stets unbestritten, dass mit einer Übernahme der Finanzlasten auch die Trägerschaft dieser Berufsschulen auf den Kanton übergehen sollte. BGE 111 Ia 196 S. 201 Diese Ordnung erscheint denn auch ohne weiteres sachgerecht. Die Identität von wirtschaftlicher und betrieblicher Trägerschaft erscheint in jeder Hinsicht als zweckmässig. Durfte aber die wirtschaftliche Trägerschaft unter dem Blickwinkel der Einheit der Materie in einem Gesamterlass neu geordnet werden, so gilt das ohne weiteres auch für die gleichzeitig notwendige Neuordnung der betrieblichen Trägerschaft. Gleiches muss für die Berufsschulen gelten, die nicht durch die Gemeinden, sondern durch andere öffentlichrechtliche oder private Organisationen getragen werden. Auch diese Berufsschulen sind nicht selbsttragend, sondern im wesentlichen von Beiträgen des Gemeinwesens abhängig. Sie sind wirtschaftlich, aber auch unterrichtsmässig in das Gesamtgefüge des staatlichen Berufsbildungswesens integriert; sie haben praktisch nur hinsichtlich der betrieblichen Trägerschaft eine Sonderstellung. Die Neuordnung der finanziellen Leistungen des Gemeinwesens an diese Berufsschulen rechtfertigte es unter dem Blickwinkel der Einheit der Materie, auch eine betriebliche Zuständigkeitsordnung zu erlassen. Die Frage des inneren Sachzusammenhangs stellt sich hier nicht anders als bei den bisher kommunal betriebenen Berufsschulen. Dass die öffentlichen und die privaten Schulträger von einheitlichen Regelungen betroffen werden, ist in bezug auf das politische Stimmrecht ohne Belang. Das einheitliche Ziel des streitigen Gesetzes wird durch die unterschiedlichen Auswirkungen auf einzelne Betroffene nicht verändert. Es genügt vielmehr dem Erfordernis der Einheit der Materie. c) Zusammenfassend ergibt sich, dass die streitige Vorlage das politische Stimmrecht der Bürger nicht verletzt. Die Stimmrechtsbeschwerde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