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176 vom 1. Januar 1985</w:t>
      </w:r>
    </w:p>
    <w:p>
      <w:r>
        <w:t>Bundesgericht (BGE), 1985-01-01, DE</w:t>
      </w:r>
    </w:p>
    <w:p>
      <w:r>
        <w:rPr>
          <w:b/>
        </w:rPr>
        <w:t xml:space="preserve">Quelle: </w:t>
      </w:r>
      <w:r>
        <w:t>https://mcp.opencaselaw.ch/entscheid/bge_BGE_111_Ia_176</w:t>
      </w:r>
    </w:p>
    <w:p>
      <w:r>
        <w:t>FR: BGE BGE 111 Ia 176 du 1 janvier 1985</w:t>
      </w:r>
    </w:p>
    <w:p>
      <w:r>
        <w:t>IT: BGE BGE 111 Ia 176 del 1 gennaio 1985</w:t>
      </w:r>
    </w:p>
    <w:p>
      <w:pPr>
        <w:pStyle w:val="Heading2"/>
      </w:pPr>
      <w:r>
        <w:t>Regeste</w:t>
      </w:r>
    </w:p>
    <w:p>
      <w:r>
        <w:t>Regeste Unfallversicherung; Willkür (Art. 4 BV). 1. Es verstösst gegen das Willkürverbot (Art. 4 BV), eine kantonale Gesetzesbestimmung mit der - unzutreffenden - Begründung, diese widerspreche Bundesrecht (in concreto Art. 116 Abs. 2 und 91 Abs. 2 Satz 2 UVG), nicht in Kraft zu setzen (E. 3c). 2. Der Vorbehalt abweichender Abreden gemäss Art. 91 Abs. 2 UVG betreffend Prämienzahlungspflicht für die obligatorische Versicherung gegen Nichtberufsunfälle gilt auch für generell-abstrakte Normen des kantonalen Rechts (E. 3c/aa).</w:t>
      </w:r>
    </w:p>
    <w:p>
      <w:r>
        <w:t>Regeste Assurance-accidents; arbitraire (art. 4 Cst.). 1. Est arbitraire le refus de mettre en vigueur une disposition légale cantonale au motif - infondé - que la norme en cause contredirait le droit fédéral (en l'espèce les art. 116 al. 2 et 91 al. 2, 2e phrase de la LAA) (consid. 3c). 2. Les conventions contraires réservées par l'art. 91 al. 2 LAA concernant l'obligation du travailleur de payer les primes d'assurance obligatoire contre les accidents non professionnels peuvent également découler de normes générales et abstraites de droit cantonal (consid. 3c/aa).</w:t>
      </w:r>
    </w:p>
    <w:p>
      <w:r>
        <w:t>Regesto Assicurazione contro gli infortuni; arbitrio (art. 4 Cost.). 1. È arbitrario rifiutare la messa in vigore di una disposizione legale cantonale per il motivo - infondato - che tale disposizione sarebbe contraria al diritto federale (in casu gli art. 116 cpv. 2 e 91 cpv. 2 seconda frase LAINF) (consid. 3c). 2. I patti contrari riservati dall'art. 91 cpv. 2 LAINF e concernenti l'onere per il lavoratore di pagare i premi dell'assicurazione obbligatoria contro gli infortuni non professionali possono risultare anche da norme generali e astratte del diritto cantonale (consid. 3c/aa).</w:t>
      </w:r>
    </w:p>
    <w:p>
      <w:pPr>
        <w:pStyle w:val="Heading2"/>
      </w:pPr>
      <w:r>
        <w:t>Erwägungen</w:t>
      </w:r>
    </w:p>
    <w:p>
      <w:r>
        <w:rPr>
          <w:b/>
        </w:rPr>
        <w:t>E. 2</w:t>
      </w:r>
    </w:p>
    <w:p>
      <w:r>
        <w:t>Die Versicherungsprämien sind durch den Schulträger zu bezahlen.</w:t>
      </w:r>
    </w:p>
    <w:p>
      <w:r>
        <w:rPr>
          <w:b/>
        </w:rPr>
        <w:t>E. 3</w:t>
      </w:r>
    </w:p>
    <w:p>
      <w:r>
        <w:t>a) Der Beschwerdeführer rügt den angefochtenen Entscheid des Regierungsrates, der die Abweisung der Beschwerde mit der Nichtinkraftsetzung von § 60 UG wegen angeblicher Unvereinbarkeit mit Art. 116 Abs. 2 und Art. 91 Abs. 2 UVG begründet, als willkürlich, weil § 60 Abs. 2 UG sinngemäss eine abweichende Abrede zugunsten des Arbeitnehmers im Sinne von Art. 91 Abs. 2 Satz 2 UVG darstelle, die von Art. 116 Abs. 2 UVG nicht berührt werde. b) Ein Entscheid ist willkürlich, wenn er offensichtlich unhaltbar ist, mit der tatsächlichen Situation in klarem Widerspruch steht, eine Norm oder einen unumstrittenen Rechtsgrundsatz krass verletzt oder in stossender Weise dem Gerechtigkeitsgedanken zuwiderläuft ( BGE 109 Ia 22 ). c) Der Entscheid des Regierungsrates hält fest, dass § 60 UG endgültig nicht in Kraft gesetzt werde. Wenn der Regierungsrat als Exekutive ermächtigt ist, über die Inkraftsetzung eines Gesetzes oder einzelner Gesetzesbestimmungen zu befinden, so liegt die Entscheidung darüber nicht in seinem (freien) Belieben. Auf Dauer BGE 111 Ia 176 S. 179 und damit endgültig kann er von einer Inkraftsetzung nur absehen, wenn die entsprechende Norm keinen Bestand (mehr) haben kann, was der Fall ist, wenn ihr Bundesrecht entgegensteht. Ist dies aber nicht der Fall, handelt der Regierungsrat willkürlich, indem er durch das dafür zuständige Organ erlassenes Gesetzesrecht nicht wirksam werden lässt. Ob § 60 UG dem UVG widerspricht, wie der Regierungsrat im angefochtenen Entscheid behauptet, hat das Bundesgericht - weil es um den Vorrang des Bundesrechts geht - frei und umfassend zu prüfen. aa) Nach Art. 116 Abs. 2 UVG sind mit dessen Inkrafttreten kantonale Erlasse über die obligatorische Unfallversicherung der Arbeitnehmer dahingefallen. Die Bestimmung nimmt vor allem Bezug auf die obligatorischen Unfallversicherungen, die in den Kantonen Genf und Tessin schon im damaligen Zeitpunkt bestanden hatten (Bericht der Expertenkommission für die Revision der Unfallversicherung vom 14. September 1973, S. 42 ff.). Ob § 60 UG ein Erlass im Sinne von Art. 116 Abs. 2 UVG sei, kann hier offenbleiben. Fest steht jedenfalls, dass kantonale Erlasse durch Art. 116 Abs. 2 UVG insoweit nicht aufgehoben werden, als das UVG für kantonale Regelungen ausdrücklich Raum lässt. Wenn in Art. 91 Abs. 2 Satz 2 UVG von abweichenden "Abreden" und nicht von Rechtssätzen die Rede ist, so hat dies seinen Grund allein darin, dass das UVG auch auf die Arbeitnehmer der Privatwirtschaft anwendbar ist und daher in erster Linie abweichende Abreden (gesamt-)arbeitsvertraglicher Natur im Auge hat. Daraus darf indessen nicht gefolgert werden, abweichende Regelungen im Sinne von Art. 91 Abs. 2 Satz 2 UVG müssten in jedem Fall in einer individuell-konkreten Norm, d.h. in einem privatrechtlichen Arbeitsvertrag oder einer Anstellungsverfügung enthalten sein. Da finanzielle Ansprüche im Rahmen öffentlichrechtlicher Anstellungsverhältnisse normalerweise durch generell-abstrakte Normen geregelt werden, ergäbe sich aus der regierungsrätlichen Auslegung von Art. 91 Abs. 2 Satz 2 UVG , dass Beamten und öffentlichrechtlich Angestellten das in jener Bestimmung vorausgesetzte Privileg gar nie zugestanden werden könnte. Unter abweichenden "Abreden" im Sinne der erwähnten Bestimmung sind daher auch Rechtssätze zu verstehen, die das Anstellungsverhältnis des Personals der öffentlichen Hand generell regeln. Um eine solche Norm handelt es sich bei § 60 UG. BGE 111 Ia 176 S. 180 bb) Der Regierungsrat setzte nach der Annahme des Unterrichtsgesetzes (UG) dessen § 60 nicht in Kraft, weil er der Auffassung war, die Bestimmung könnte nicht zur Anwendung gelangen, bevor entsprechende Ausführungsbestimmungen erlassen worden seien. Solche sind angesichts der im wesentlich abschliessenden Regelung des UVG inzwischen unnötig, ja unzulässig geworden. Im angefochtenen Entscheid vertritt der Regierungsrat nun aber die Ansicht, § 60 könne auch in Zukunft nicht in Kraft gesetzt werden, weil er im Widerspruch zu den erwähnten Bestimmungen des UVG stehe. Da die diesem Schluss zugrundeliegende, durch den Regierungsrat vorgenommene Auslegung der Art. 116 Abs. 2 und Art. 91 Abs. 2 Satz 2 UVG sich aber als unzutreffend erweist, verstösst der angefochtene Entscheid (der bewirken würde, dass der dem Beschwerdeführer bis anhin aufgrund einer entsprechenden Anstellungsvereinbarung mit der Schulgemeinde ausgerichtete Prämienanteil für die Nichtbetriebsunfallversicherung teilweise durch ihn zu tragen wäre) gegen das in Art. 4 BV enthaltene Willkürverbot und ist daher aufzuheben. d) Der angefochtene Entscheid liesse sich auch nicht mit der vom Regierungsrat weiter angeführten Begründung aufrechterhalten, die Übernahme der Prämien der Nichtbetriebsunfallversicherung der Lehrer durch die Schulgemeinden verstosse gegen § 6 des Lehrerbesoldungsgesetzes (Ortszulagenverbot). Wie sich aus der Botschaft zur Volksabstimmung vom 24. Juni 1979 ergibt, bezweckte das im Lehrerbesoldungsgesetz enthaltene Verbot von Ortszulagen der Schulgemeinden, die finanziellen Leistungen an die Lehrer innerhalb des Kantons zu vereinheitlichen und damit der Konkurrenz zwischen den Schulgemeinden bezüglich der Anwerbung von Lehrkräften entgegenzuwirken. Dem Regierungsrat kann insoweit zugestimmt werden, als die neue Regelung Konzessionen einzelner Schulgemeinden bezüglich der Übernahme der Prämien der Nichtbetriebsunfallversicherung ausschliesst. Nun sieht aber gerade § 60 Abs. 2 UG vor, dass sämtliche Schulgemeinden die Prämien der Nichtbetriebsunfallversicherung der Lehrer zu übernehmen haben. Der Einwand des Beschwerdeführers, durch diese Regelung würden in dieser Hinsicht alle Lehrer bzw. Schulgemeinden gleichgestellt, ist berechtigt: Ein Widerspruch zum Ortszulagenverbot (§ 6 des Lehrerbesoldungsgesetzes) ist nicht zu erkennen. Läge ein solcher vor, so wäre es doch eigenartig, wenn weder beim Erlass des UG noch des Lehrerbesoldungsgesetzes auf diesen Umstand hingewiesen worden wäre - besonders BGE 111 Ia 176 S. 181 nachdem den Schulgemeinden über viele Jahre hinweg schon vom zuständigen kantonalen Departement die Übernahme dieser Prämien empfohlen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