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48</w:t>
      </w:r>
    </w:p>
    <w:p>
      <w:r>
        <w:t>Bundesgericht (BGE), 1985-01-01, FR</w:t>
      </w:r>
    </w:p>
    <w:p>
      <w:r>
        <w:rPr>
          <w:b/>
        </w:rPr>
        <w:t xml:space="preserve">Quelle: </w:t>
      </w:r>
      <w:r>
        <w:t>https://mcp.opencaselaw.ch/entscheid/bge_BGE_111_IV_48</w:t>
      </w:r>
    </w:p>
    <w:p>
      <w:r>
        <w:t>FR: ATF 111 IV 48</w:t>
      </w:r>
    </w:p>
    <w:p>
      <w:r>
        <w:t>IT: DTF 111 IV 48</w:t>
      </w:r>
    </w:p>
    <w:p>
      <w:pPr>
        <w:pStyle w:val="Heading2"/>
      </w:pPr>
      <w:r>
        <w:t>Regeste</w:t>
      </w:r>
    </w:p>
    <w:p>
      <w:r>
        <w:t>Regeste Art. 48 Abs. 2 IRSG, Art. 33 Abs. 1 OG. Die Beschwerdefrist von 10 Tagen gemäss Art. 48 Abs. 2 IRSG kann nicht erstreckt werden; eine Fristverlängerung zur Beweisführung über Tatsachen, welche die Unzulässigkeit der angefochtenen Untersuchungshandlungen dartun sollen, ist ausgeschlossen.</w:t>
      </w:r>
    </w:p>
    <w:p>
      <w:r>
        <w:t>Regeste Art. 48 al. 2 EIMP, art. 33 al. 1 OJ. Le délai de 10 jours prévu à l'art. 48 al. 2 EIMP ne saurait être prolongé pour permettre au recourant d'établir des faits démontrant que les actes d'instruction critiqués sont mal fondés.</w:t>
      </w:r>
    </w:p>
    <w:p>
      <w:r>
        <w:t>Regesto Art. 48 cpv. 2 AIMP, art. 33 cpv. 1 OG. Il termine di 10 giorni previsto dall'art. 48 cpv. 2 AIMP non può essere prorogato per consentire al reclamante di provare fatti che dimostrino l'infondatezza degli atti istruttori impugnati.</w:t>
      </w:r>
    </w:p>
    <w:p>
      <w:pPr>
        <w:pStyle w:val="Heading2"/>
      </w:pPr>
      <w:r>
        <w:t>Erwägungen</w:t>
      </w:r>
    </w:p>
    <w:p>
      <w:r>
        <w:rPr>
          <w:b/>
        </w:rPr>
        <w:t>E. 2</w:t>
      </w:r>
    </w:p>
    <w:p>
      <w:r>
        <w:t>Les deux recourants demandent un délai de 10 semaines pour compléter leur recours par des preuves démontrant que leurs avoirs bloqués dans les banques et les objets séquestrés ne sont pas d'origine délictueuse (producta sceleris). Ce chef de conclusions ne peut être admis. Le délai prévu à l' art. 48 al. 2 EIMP (RS 351.1) est un délai fixé par la loi qui ne peut être prolongé ( art. 33 al. 1 OJ ). De plus, le fait que les recourants soutiennent disposer d'un temps trop limité pour réunir les preuves qu'ils souhaitent apporter est dépourvu de pertinence. Ils oublient en effet que la procédure devant la Chambre de céans doit seulement permettre d'examiner si le bien-fondé des moyens soulevés à l'encontre des actes d'instruction critiqués, telles l'arrestation de l'accusé et la saisie d'objets ou de valeurs, peut être établi sans délai et sans procédure probatoire de quelque durée (voir ATF 109 IV 176 ). Cela découle non seulement de la brièveté du délai de recours, limité à 10 jours par le législateur, mais encore de l' art. 47 al. 1 lettre b EIMP prévoyant que la preuve par alibi doit être fournie "sans délai", lors même que cette disposition vise la mesure d'instruction la plus contraignante, soit l'arrestation en vue de l'extradition.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