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31</w:t>
      </w:r>
    </w:p>
    <w:p>
      <w:r>
        <w:t>Bundesgericht (BGE), 1985-01-01, DE</w:t>
      </w:r>
    </w:p>
    <w:p>
      <w:r>
        <w:rPr>
          <w:b/>
        </w:rPr>
        <w:t xml:space="preserve">Quelle: </w:t>
      </w:r>
      <w:r>
        <w:t>https://mcp.opencaselaw.ch/entscheid/bge_BGE_111_IV_31</w:t>
      </w:r>
    </w:p>
    <w:p>
      <w:r>
        <w:t>FR: ATF 111 IV 31</w:t>
      </w:r>
    </w:p>
    <w:p>
      <w:r>
        <w:t>IT: DTF 111 IV 31</w:t>
      </w:r>
    </w:p>
    <w:p>
      <w:pPr>
        <w:pStyle w:val="Heading2"/>
      </w:pPr>
      <w:r>
        <w:t>Regeste</w:t>
      </w:r>
    </w:p>
    <w:p>
      <w:r>
        <w:t>Regeste Art. 19 Ziff. 2 lit. a BetmG. Nach dieser Bestimmung macht sich beim Nachweis einer entsprechenden Menge auch derjenige strafbar, der lediglich einem Abnehmer Betäubungsmittel abgibt und weiss, dass dieser seinerseits wiederum nur einen bestimmten, kleineren Personenkreis beliefert.</w:t>
      </w:r>
    </w:p>
    <w:p>
      <w:r>
        <w:t>Regeste Art. 19 ch. 2 litt. a LStup. Lorsque l'infraction porte sur une quantité suffisante de stupéfiants, celui qui ne livre de la drogue qu'à une seule personne en sachant que celle-ci, à son tour, ne s'en dessaisira qu'au profit d'un cercle restreint de personnes déterminées est néanmoins punissable en application de cette disposition.</w:t>
      </w:r>
    </w:p>
    <w:p>
      <w:r>
        <w:t>Regesto Art. 19 n. 2 lett. a LS. È punibile ai sensi di questa disposizione anche chi, operando con una quantità sufficiente di stupefacenti, consegna la droga ad una sola persona sapendo che essa, a sua volta, la rimetterà soltanto ad una cerchia ristretta di persone determinate.</w:t>
      </w:r>
    </w:p>
    <w:p>
      <w:pPr>
        <w:pStyle w:val="Heading2"/>
      </w:pPr>
      <w:r>
        <w:t>Erwägungen</w:t>
      </w:r>
    </w:p>
    <w:p>
      <w:r>
        <w:rPr>
          <w:b/>
        </w:rPr>
        <w:t>E. 2</w:t>
      </w:r>
    </w:p>
    <w:p>
      <w:r>
        <w:t>Nachdem die Vorinstanz mit zutreffender Begründung das Verhalten des Beschwerdeführers unter Berücksichtigung der neuesten Rechtsprechung des Bundesgerichts in objektiver ( BGE 109 IV 143 E. 3 mit Verweisungen) und subjektiver Hinsicht ( BGE 104 IV 212 ff.) als "schweren Fall" im Sinne von Art. 19 Ziff. 2 lit. a BetmG qualifiziert hatte, wurde anschliessend in den Urteilserwägungen festgehalten, es sei nicht relevant, "ob der Angeklagte lediglich einem Abnehmer Stoff lieferte und wusste, dass dieser Abnehmer selber wiederum nur einen bestimmten, kleineren Personenkreis belieferte". Nach Ansicht des Beschwerdeführers hat die Vorinstanz mit der eben zitierten Feststellung insoweit Bundesrecht verletzt, als die BGE 111 IV 31 S. 32 von ihm vermittelten, insgesamt 8 kg Haschisch sich zum vornherein nicht zur Gefährdung vieler Menschen geeignet hätten, weil es nach seinem Wissen nur für einen kleinen Kreis von 5 oder 6 Personen bestimmt war. Diese Darstellung lässt den eindeutigen Wortlaut des Gesetzes ausser Betracht. Ein schwerer Fall nach Art. 19 Ziff. 2 lit. a BetmG liegt schon dann vor, wenn sich die Widerhandlung auf eine Menge von Betäubungsmitteln bezieht, welche die Gesundheit vieler Menschen in Gefahr bringen kann. In objektiver Hinsicht setzt die Bestimmung also nur voraus, dass die Widerhandlung mit einer Menge eines bestimmten Betäubungsmittels begangen wird, die geeignet ist, eine gesundheitliche Gefahr für viele herbeizuführen; in subjektiver Beziehung verlangt das Gesetz, dass der Täter um diese objektiven Umstände weiss oder darauf schliessen muss ( BGE 104 IV 213 E. 2). Indem der Beschwerdeführer geltend macht, dass die 8 kg Haschisch nur einem Abnehmer geliefert und damit nur wenige Personen versorgt wurden, übersieht er das Wesen des zu beurteilenden Deliktes als eines abstrakten Gefährdungsdeliktes, bei welchem der Nachweis nicht erforderlich ist, dass die Gefahr eingetreten oder vom Täter gewollt war ( BGE 108 IV 65 E. 2 mit Hinweisen; ALFRED SCHÜTZ, Die Strafbestimmungen des Bundesgesetzes über die Betäubungsmittel vom 3. Oktober 1951 in der Fassung vom 20. März 1975, Diss. Zürich, 1980, S.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