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167</w:t>
      </w:r>
    </w:p>
    <w:p>
      <w:r>
        <w:t>Bundesgericht (BGE), 1985-01-01, DE</w:t>
      </w:r>
    </w:p>
    <w:p>
      <w:r>
        <w:rPr>
          <w:b/>
        </w:rPr>
        <w:t xml:space="preserve">Quelle: </w:t>
      </w:r>
      <w:r>
        <w:t>https://mcp.opencaselaw.ch/entscheid/bge_BGE_111_IV_167</w:t>
      </w:r>
    </w:p>
    <w:p>
      <w:r>
        <w:t>FR: ATF 111 IV 167</w:t>
      </w:r>
    </w:p>
    <w:p>
      <w:r>
        <w:t>IT: DTF 111 IV 167</w:t>
      </w:r>
    </w:p>
    <w:p>
      <w:pPr>
        <w:pStyle w:val="Heading2"/>
      </w:pPr>
      <w:r>
        <w:t>Regeste</w:t>
      </w:r>
    </w:p>
    <w:p>
      <w:r>
        <w:t>Regeste Art. 90 Ziff. 2 SVG; organisierte "Bummelfahrt" auf der Autobahn zu Protestzwecken. Wer auf der Autobahn bewusst und zusammen mit anderen durch langsames Fahren auf allen Spuren den normalen Verkehr verunmöglicht und Staus verursacht, macht sich der groben Verletzung von Verkehrsregeln i.S. von Art. 90 Ziff. 2 SVG i.V. mit Art. 4 Abs. 5 VRV schuldig.</w:t>
      </w:r>
    </w:p>
    <w:p>
      <w:r>
        <w:t>Regeste Art. 90 ch. 2 LCR; "opération escargot" organisée sur l'autoroute à des fins de protestation. Celui qui, consciemment et de concert avec d'autres usagers, roule lentement de façon à occuper toutes les pistes de l'autoroute en y rendant le trafic normal impossible et en provoquant un bouchon, se rend coupable de violation grave des règles de la circulation au sens de l'art. 90 ch. 2 LCR, en relation avec l'art. 4 al. 5 OCR.</w:t>
      </w:r>
    </w:p>
    <w:p>
      <w:r>
        <w:t>Regesto Art. 90 n. 2 LCS; marcia a rilento sull'autostrada a scopo di protesta. Chi consapevolmente e d'intesa con altri utenti circola lentamente, in modo da occupare tutte le corsie dell'autostrada, rendendo impossibile il traffico normale e provocando imbottigliamenti, commette una violazione grave delle norme della circolazione, ai sensi dell'art. 90 n. 2 LCS in relazione con l'art. 4 cpv. 5 ONCS.</w:t>
      </w:r>
    </w:p>
    <w:p>
      <w:pPr>
        <w:pStyle w:val="Heading2"/>
      </w:pPr>
      <w:r>
        <w:t>Erwägungen</w:t>
      </w:r>
    </w:p>
    <w:p>
      <w:r>
        <w:rPr>
          <w:b/>
        </w:rPr>
        <w:t>E. 1</w:t>
      </w:r>
    </w:p>
    <w:p>
      <w:r>
        <w:t>Der Schuldspruch wegen Teilnahme an einer nichtbewilligten Demonstration wurde schon im kantonalen Verfahren nicht angefochten und ist in Rechtskraft erwachsen. Die Nichtigkeitsbeschwerde richtet sich ausschliesslich gegen die Bestrafung gemäss Art. 90 Ziff. 2 SVG . Dass L. durch seine Fahrweise im Rahmen der Protestveranstaltung gegen Art. 4 Abs. 5 VRV verstiess, indem er ohne zwingende Gründe vorsätzlich durch zu langsame Fahrt den gleichmässigen Verkehrsfluss hinderte, ist unbestritten. Die Strafbarkeit der Widerhandlung gegen eine klare Regel der VRV wird in der Beschwerdeschrift nicht in Zweifel gezogen. L. macht jedoch geltend, sein Verhalten sei zu Unrecht unter Ziff. 2 von Art. 90 SVG subsumiert und als Vergehen geahndet worden, obschon die Voraussetzungen dieser Bestimmung nicht erfüllt seien.</w:t>
      </w:r>
    </w:p>
    <w:p>
      <w:r>
        <w:rPr>
          <w:b/>
        </w:rPr>
        <w:t>E. 2</w:t>
      </w:r>
    </w:p>
    <w:p>
      <w:r>
        <w:t>Art. 90 SVG erfasst in Ziff. 1 als Übertretung jeden Verstoss gegen Verkehrsregeln des Gesetzes oder der Vollziehungsvorschriften. Ziff. 2 von Art. 90 SVG umschreibt den qualifizierten Fall der Verkehrsregelverletzung, für den auch eine Gefängnisstrafe in Betracht fällt. Voraussetzung der höhern Strafdrohung ist einerseits, dass es sich um eine grobe Verletzung der Verkehrsregeln handeln muss, und anderseits, dass eine ernstliche Gefahr für die Sicherheit anderer hervorgerufen oder in Kauf genommen wird ( BGE 106 IV 49 ff.). a) Eine unbedachte fahrlässige Bummelfahrt, die andere behindert, aber nicht gefährdet, dürfte kaum je als grobe Verkehrsregelverletzung einzustufen sein. Dagegen verstösst das vorsätzliche Langsamfahren einer Gruppe von Automobilisten zwecks BGE 111 IV 167 S. 169 planmässiger Behinderung des Verkehrsflusses auf einer Autobahn subjektiv und objektiv in grober Weise gegen die Vorschrift von Art. 4 Abs. 5 VRV . Es geht hier um ein bewusst rechtswidriges Verhalten, das sich deutlich abhebt von der grossen Zahl der SVG-Übertretungen, welche auf ein momentanes Versagen, eine kurze Unaufmerksamkeit oder eine ungeschickte Reaktion zurückzuführen sind. Das in Frage stehende Verhalten des Beschwerdeführers beruht auf einem Entschluss, der ruhig überlegt werden konnte. Ungewöhnlich und gravierend ist auch die Dauer der Verfehlung (im Vergleich zur Dauer einer durchschnittlichen SVG-Übertretung). Ein solches auf Behinderung des Verkehrs abzielendes Verletzen von Art. 4 Abs. 5 VRV in planmässigem Zusammenwirken mit andern überschreitet das Mass an Schuld und Rechtswidrigkeit, das üblicherweise bei SVG-Widerhandlungen festzustellen ist, bei weitem und muss in jeder Beziehung als grober Verstoss bezeichnet werden. b) Die Organisatoren und Teilnehmer der Demonstration wollten durch ihre Langsamfahrt auf Autobahnen Staus verursachen. Sie nahmen damit die Gefahr von Auffahr-Kollisionen in Kauf. Diese Folgen des Unternehmens, an dem er mitwirkte, musste auch der Beschwerdeführer erkennen. Jeder Automobilist weiss zur Genüge, welche unangenehmen Auswirkungen Staus auf Autobahnen haben. Wer durch organisierte Langsamfahrt Stauungen hervorruft, nimmt eine ernstliche Gefahr für die Sicherheit anderer in Kauf. Die Vorinstanz hat daher das Verhalten des Beschwerdeführers zu Recht unter Art. 90 Ziff. 2 SVG subsumiert. Ob der Beschwerdeführer vorwiegend 60 km/h fuhr, wie er behauptet, ist für die strafrechtliche Beurteilung nicht massgebend. Auch die planmässige Beschränkung der Geschwindigkeit auf 60 km/h auf allen Spuren der Autobahn hindert den gleichmässigen Verkehrsfluss und verletzt Art. 4 Abs. 5 VRV in grober Weise.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