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155</w:t>
      </w:r>
    </w:p>
    <w:p>
      <w:r>
        <w:t>Bundesgericht (BGE), 1985-01-01, DE</w:t>
      </w:r>
    </w:p>
    <w:p>
      <w:r>
        <w:rPr>
          <w:b/>
        </w:rPr>
        <w:t xml:space="preserve">Quelle: </w:t>
      </w:r>
      <w:r>
        <w:t>https://mcp.opencaselaw.ch/entscheid/bge_BGE_111_IV_155</w:t>
      </w:r>
    </w:p>
    <w:p>
      <w:r>
        <w:t>FR: ATF 111 IV 155</w:t>
      </w:r>
    </w:p>
    <w:p>
      <w:r>
        <w:t>IT: DTF 111 IV 155</w:t>
      </w:r>
    </w:p>
    <w:p>
      <w:pPr>
        <w:pStyle w:val="Heading2"/>
      </w:pPr>
      <w:r>
        <w:t>Regeste</w:t>
      </w:r>
    </w:p>
    <w:p>
      <w:r>
        <w:t>Regeste Art. 260bis Abs. 1 StGB; strafbare Vorbereitungshandlungen. Die Strafbarkeit der Vorbereitungshandlungen (i.c. zu Raub) ist nur dort vorgesehen, wo mehrere planmässige und konkrete Akte des Täters auf eine solche Intensität des deliktischen Willens schliessen lassen, dass vernünftigerweise angenommen werden kann, der Täter werde seine Deliktsabsicht ohne weiteres in Richtung auf eine Ausführung der Tat weiterverfolgen. Dies setzt aber nicht voraus, dass der Täter auch materiell im Begriff ist, zur Ausführung der Tat anzusetzen. Das Gesetz verlangt nicht, dass die Vorkehren auf ein nach Ort, Zeit und Begehungsweise bereits hinreichend konkretisiertes Delikt Bezug haben.</w:t>
      </w:r>
    </w:p>
    <w:p>
      <w:r>
        <w:t>Regeste Art. 260bis al. 1 CP; actes préparatoires punissables. La répression des actes préparatoires (in casu d'un brigandage) n'est possible que dans le cas où plusieurs opérations concrètes réalisées conformément à un plan établi permettent de conclure que l'auteur fait preuve d'une volonté délictuelle d'une telle intensité que l'on doit raisonnablement admettre qu'il persévérera dans son dessein illicite. Il n'est pas nécessaire pour cela que l'auteur soit matériellement en train de s'apprêter à passer à l'exécution de l'infraction. La loi n'exige pas que les actes préparatoires se rapportent déjà à un délit suffisamment défini en ce qui concerne le lieu, le moment et la manière d'agir.</w:t>
      </w:r>
    </w:p>
    <w:p>
      <w:r>
        <w:t>Regesto Art. 260bis cpv. 1 CP; atti preparatori punibili. La punibilità degli atti preparatori (nella fattispecie, di una rapina) è prevista solo nel caso in cui più atti concreti effettuati conformemente ad un piano determinato permettano di concludere che l'agente rivela una volontà di delinquere di un'intensità tale da doversi ragionevolmente ammettere che egli persisterà nel suo proposito illecito. A tal fine non è necessario che l'agente sia materialmente in procinto di passare all'esecuzione del reato. La legge non esige che gli atti preparatori si riferiscano già ad un reato che abbia assunto una forma sufficientemente concreta per quanto riguarda il luogo, il momento e il modo d'agire.</w:t>
      </w:r>
    </w:p>
    <w:p>
      <w:pPr>
        <w:pStyle w:val="Heading2"/>
      </w:pPr>
      <w:r>
        <w:t>Erwägungen</w:t>
      </w:r>
    </w:p>
    <w:p>
      <w:r>
        <w:rPr>
          <w:b/>
        </w:rPr>
        <w:t>E. 1</w:t>
      </w:r>
    </w:p>
    <w:p>
      <w:r>
        <w:t>Das angefochtene Urteil ist nach der ausdrücklichen Feststellung des Obergerichts ein Mehrheitsentscheid. Eine Minderheit des Gerichts hätte den Beschwerdeführer von der Anklage strafbarer Vorbereitungshandlungen zu Raub freigesprochen, weil er sich bis zum Zeitpunkt der Verhaftung über die Art und Weise des Vorgehens überhaupt keine Vorstellung gemacht habe, und der angestrebte Raubüberfall nicht nur örtlich und zeitlich, sondern nicht einmal in seinen Umrissen auch nur annähernd bestimmbar gewesen sei (STRATENWERTH, Schweiz. Strafrecht, 3. Aufl., BT II S. 214). Wohl habe der Beschwerdeführer die Absicht gehabt, in Aarau oder Umgebung nach einem geeigneten Objekt Ausschau zu halten. Hierzu sei es jedoch wegen seiner Verhaftung nicht gekommen. G. hätte deshalb seinen Plan zwischenzeitlich abändern oder gänzlich aufgeben können. Im Lichte der örtlich und zeitlich völlig unbestimmten Tat und ungewissen Begehungsweise könne ihm lediglich eine Tatgeneigtheit angelastet, nicht aber gesagt werden, er hätte sich im Sinne von Art. 260bis StGB angeschickt, einen Raubüberfall zu begehen. Hieran schliesst die Beschwerde an, wobei geltend gemacht wird, G. hätte mangels örtlicher und zeitlicher Konkretisierung des Delikts nicht verurteilt werden dürfen, zumal auch in zeitlicher Hinsicht ein naher Zusammenhang mit dem Versuchsbeginn fehle (SCHUBARTH, Kommentar III S. 173 ff.). Der Beschwerdeführer habe noch nicht genügend in seine Vorkehrungen investiert BGE 111 IV 155 S. 157 gehabt, um die Schwelle der straflosen zu den strafbaren Vorbereitungshandlungen überschritten zu haben (ARZT, Zur Revision des StGB im Bereich der Gewaltverbrechen, ZStR 100/1983 S. 277). Auch nach der "extensivsten Lehrmeinung" von SCHULTZ (Zur Revision des StGB vom 9. Oktober 1981: Gewaltverbrechen, ZStR 101/1984 S. 131 ff.) hätte er freigesprochen werden müssen, weil er zu keinem Zeitpunkt vor seiner Festnahme in der Lage gewesen sei, sich zu einem Raub anzuschicken, hätte er dazu doch noch das geeignete Objekt finden, den günstigen Zeitpunkt abwarten, die bereitgestellten Tatwaffen behändigen und den italienischen Komplizen benachrichtigen müssen.</w:t>
      </w:r>
    </w:p>
    <w:p>
      <w:r>
        <w:rPr>
          <w:b/>
        </w:rPr>
        <w:t>E. 2</w:t>
      </w:r>
    </w:p>
    <w:p>
      <w:r>
        <w:t>Nach Art. 260bis Abs. 1 StGB wird mit Zuchthaus bis zu fünf Jahren oder Gefängnis bestraft, wer planmässig konkrete technische oder organisatorische Vorkehrungen trifft, deren Art und Umfang zeigen, dass er sich anschickt, eine der folgenden strafbaren Handlungen auszuführen: Raub usw. a) Wortlaut und Entstehungsgeschichte (BBl 1980 I 1243 ff.; Amtl.Bull. 1980 N II 1602 ff., 1981 S 279 ff.) dieser Bestimmung, die anlässlich der Teilrevision von 1981 von den eidgenössischen Räten ins StGB aufgenommen wurde, machen deutlich, dass der Gesetzgeber die Strafbarkeit von Vorbereitungshandlungen zu bestimmten Kapitalverbrechen mit einer Reihe einschränkender Kautelen umgeben hat, um der Verfolgung blosser deliktischer Gesinnung oder Absicht vorzubeugen. Er hat - allgemein ausgedrückt - ihre Strafbarkeit nur vorgesehen, wo äussere Akte des Täters auf eine solche Intensität des deliktischen Willens schliessen lassen, dass eine Ausführung der Straftat normalerweise bevorsteht. b) Dabei ist nicht zu übersehen, dass Vorbereitungshandlungen ihrer Natur nach bloss Handlungen sein können, die nicht schon Beginn der Deliktsausführung sind. Mit dem Erlass von Art. 260bis StGB sollte die Strafbarkeit über den Bereich des strafbaren Versuchs hinaus vorverlegt werden; bei der Vorbereitung schwerer Verbrechen, wie sie in Art. 260bis abschliessend genannt sind, soll nämlich "möglichst frühzeitig eingegriffen werden können, damit nicht zugewartet werden muss, bis die strafbaren Handlungen geschehen sind" (Amtl.Bull. 1980 N II 1664 Votum Blunschy, s. auch SCHULTZ, a.a.O. S. 134); es geht um präventiv wirkenden Rechtsgüterschutz (Amtl.Bull. N a.a.O. 1661 Votum Hunziker; Amtl.Bull. 1981 S 282 Votum Aubert). Anderseits hat aber der Gesetzgeber mit der Formel "sich zur Ausführung BGE 111 IV 155 S. 158 anschicken" auch zum Ausdruck gebracht, dass nicht jede entfernte und in ihrer Zielrichtung noch vage Vorbereitungshandlung genügt. Die Vorkehrungen, von denen das Gesetz spricht, müssen planmässig und konkret sein, d.h. es muss um mehrere überlegt ausgeführte Handlungen gehen, die im Rahmen eines deliktischen Vorhabens eine bestimmte Vorbereitungsfunktion haben. Sie müssen ausserdem nach ihrer Art und ihrem Umfang so weit gediehen sein, dass vernünftigerweise angenommen werden kann, der Täter werde seine damit manifestierte Deliktsabsicht ohne weiteres in Richtung auf eine Ausführung der Tat weiterverfolgen; er muss - mit anderen Worten - zumindest psychologisch an der Schwelle der Tatausführung angelangt sein (Amtl.Bull. N a.a.O. 1658 Votum Petitpierre), was aber nicht voraussetzt, dass er auch materiell im Begriff ist, zur Ausführung der Tat anzusetzen (ARZT, a.a.O. S. 277). Das Gesetz verlangt entgegen der Meinung STRATENWERTHS (s. E. 1) nicht, dass die Vorkehrungen auf ein nach Ort, Zeit und Begehungsweise bereits hinreichend konkretisiertes Delikt Bezug haben (ebenso SCHULTZ, a.a.O. S. 134). Wo, wann und wie die Straftat auszuführen sein wird, sind weitgehend Fragen der Organisation. Art. 260bis Abs. 1 StGB lässt jedoch wahlweise technische oder organisatorische Vorkehrungen genügen. Der Täter, der im Hinblick auf einen Raubüberfall, dessen Ablauf bloss in weiten Konturen (z.B. Überfall auf noch nicht bestimmte Bank in einer bestimmten Region), aber nicht schon im Detail geplant ist, bereits eine Reihe konkreter technischer Vorkehrungen getroffen hat, die erkennen lassen, dass er aller Wahrscheinlichkeit nach die Tat nach Abschluss weiterer Massnahmen ausführen wird, ist an jener psychologischen Schwelle zur Tatausführung angelangt, und es besteht objektiv und subjektiv eine zureichende Beziehung zwischen der Vorbereitung und einem bestimmten Deliktstatbestand, um nach dem Willen des Gesetzgebers Art. 260bis Abs. 1 StGB Platz greifen zu lassen (s. Amtl.Bull. N a.a.O. 1620 und 1665 Voten von Bundesrat Furgler unter Verweisung auf HAFTER und SCHULTZ).</w:t>
      </w:r>
    </w:p>
    <w:p>
      <w:r>
        <w:rPr>
          <w:b/>
        </w:rPr>
        <w:t>E. 3</w:t>
      </w:r>
    </w:p>
    <w:p>
      <w:r>
        <w:t>Im vorliegenden Fall hatte sich der mehrfach vorbestrafte Beschwerdeführer, der - wie die Vorinstanz sich ausdrückt - als eigentlicher Kriminaltourist in die Schweiz kam, wo er übrigens noch eine Reihe von Diebstählen beging, in Mailand Schusswaffen und Munition beschafft, um in der Gegend von Aarau einen Raubüberfall auf eine Bank, ein Postbüro oder ein Verkaufslokal BGE 111 IV 155 S. 159 auszuführen. In der Schweiz selber erstand er weitere Utensilien (Funkgeräte, Gummihandschuhe, Schraubenzieher, Glasschneider), die er in einem Schliessfach im Bahnhof Aarau deponierte. Auch stand ein Komplize in Italien auf Abruf bereit, um für den Zeitpunkt der Tatausführung mit dem Auto in die Schweiz zu kommen und dem Beschwerdeführer beizustehen. Damit hat G. zielstrebig und mit einem gewissen finanziellen Aufwand eine ganze Reihe von konkreten Vorbereitungen für einen in Aussicht genommenen Raub getroffen und solcherweise eine derartige Tatbereitschaft manifestiert, dass sich der Schluss rechtfertigt, er habe jedenfalls psychologisch die Schwelle der Tatausführung erreicht. Die Gerichtsmehrheit der Vorinstanz hat ihn deshalb zu Recht nach Art. 260bis Abs. 1 StGB bestraft.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