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94</w:t>
      </w:r>
    </w:p>
    <w:p>
      <w:r>
        <w:t>Bundesgericht (BGE), 1985-01-01, DE</w:t>
      </w:r>
    </w:p>
    <w:p>
      <w:r>
        <w:rPr>
          <w:b/>
        </w:rPr>
        <w:t xml:space="preserve">Quelle: </w:t>
      </w:r>
      <w:r>
        <w:t>https://mcp.opencaselaw.ch/entscheid/bge_BGE_111_II_94</w:t>
      </w:r>
    </w:p>
    <w:p>
      <w:r>
        <w:t>FR: ATF 111 II 94</w:t>
      </w:r>
    </w:p>
    <w:p>
      <w:r>
        <w:t>IT: DTF 111 II 94</w:t>
      </w:r>
    </w:p>
    <w:p>
      <w:pPr>
        <w:pStyle w:val="Heading2"/>
      </w:pPr>
      <w:r>
        <w:t>Regeste</w:t>
      </w:r>
    </w:p>
    <w:p>
      <w:r>
        <w:t>Regeste Art. 66 Abs. 1 OG. Nach Gutheissung einer staatsrechtlichen Beschwerde kann der neue kantonale Entscheid nicht mehr mit Rügen angefochten werden, die vorzubringen schon im früheren Beschwerdeverfahren Anlass bestanden hätte.</w:t>
      </w:r>
    </w:p>
    <w:p>
      <w:r>
        <w:t>Regeste Art. 66 al. 1 OJ. Lorsqu'à la suite de l'admission d'un recours de droit public une affaire est renvoyée à l'autorité cantonale, la nouvelle décision que prend cette dernière ne peut plus faire l'objet, dans un nouveau recours, de griefs qui auraient déjà pu être soulevés dans la précédente procédure de recours.</w:t>
      </w:r>
    </w:p>
    <w:p>
      <w:r>
        <w:t>Regesto Art. 66 cpv. 1 OG. Ove in seguito ad accoglimento di un ricorso di diritto pubblico una causa sia rimandata all'autorità cantonale, la nuova decisione pronunciata da quest'ultima non è più impugnabile con censure che avrebbero potuto essere sollevate nella procedura ricorsuale precedente.</w:t>
      </w:r>
    </w:p>
    <w:p>
      <w:pPr>
        <w:pStyle w:val="Heading2"/>
      </w:pPr>
      <w:r>
        <w:t>Erwägungen</w:t>
      </w:r>
    </w:p>
    <w:p>
      <w:r>
        <w:rPr>
          <w:b/>
        </w:rPr>
        <w:t>E. 2</w:t>
      </w:r>
    </w:p>
    <w:p>
      <w:r>
        <w:t>Gemäss Art. 66 Abs. 1 OG hat die kantonale Instanz, an die eine Sache zurückgewiesen wird, der neuen Entscheidung die rechtliche Beurteilung zugrunde zu legen, mit der die Rückweisung begründet worden ist. Diese Beurteilung bindet auch das Bundesgericht, gleichviel ob es durch eine Berufung, eine staatsrechtliche Beschwerde oder ein anderes Rechtsmittel veranlasst worden sei, die Sache an die kantonale Instanz zurückzuweisen ( Art. 38 OG ; BGE 104 Ia 63 , BGE 101 Ia 30 , BGE 101 II 145 , je mit weiteren Hinweisen). Wegen dieser Bindung der Gerichte ist es auch den Parteien verwehrt, im Fall einer erneuten Anrufung des Bundesgerichts der Beurteilung des Rechtsstreites einen anderen als den bisherigen Sachverhalt zu unterstellen oder die Sache unter rechtlichen Gesichtspunkten zu prüfen, die im Rückweisungsentscheid ausdrücklich abgelehnt oder gar nicht in Erwägung gezogen worden sind ( BGE 101 II 145 E. 3 und BGE 90 II 308 E. 2a). Wird eine Sache zurückgewiesen, damit die kantonale Instanz Versäumtes nachhole, insbesondere den Sachverhalt ergänze und je nach dem Ergebnis neu entscheide, so kann mit dem Rechtsmittel gegen ihren neuen Entscheid nur geltend gemacht werden, sie habe bei der Klärung oder Beurteilung offen gebliebener Punkte Weisungen des Bundesgerichts nicht befolgt. Die Beschwerdeführerin macht mit Recht nicht geltend, dass das Obergericht den in Art. 66 Abs. 1 OG enthaltenen Grundsatz missachtet habe. Sie setzt sich vielmehr selbst über die Sach- und Rechtslage hinweg, welche nach dem Rückweisungsentscheid auch für die Beurteilung ihrer neuen Beschwerde massgebend sein muss. Sie wirft dem Obergericht Willkür vor, weil es mit keinem Wort berücksichtige, was der Experte ständig betone, nämlich dass die Messungen wegen nachträglicher Umbauten nur als Versuch verstanden werden könnten, aus den heutigen Zahlen auf die Temperaturen BGE 111 II 94 S. 96 zu schliessen, welche gemäss Vertrag für die projektierte Halle garantiert worden seien. Nach den Plänen von 1972 habe es sich um eine offene Lager- und Fabrikationshalle gehandelt, die aber nachträglich durch viele Zwischenwände unterteilt worden sei, so dass eine gleichmässige Luftverteilung nicht mehr möglich gewesen sei; dies habe zu starken Temperaturunterschieden geführt. Damit versucht die Beschwerdeführerin ihre Kritik an der Würdigung des Gutachtens durch das Obergericht auf Fragen auszudehnen, die sie mit der ersten Beschwerde nicht aufgeworfen hat. Das ist unzulässig. Sie hätte die neuen Rügen schon im früheren Beschwerdeverfahren vorbringen können und nach Treu und Glauben auch vorbringen müssen, wenn sie die Temperaturunterschiede, welche das Obergericht dem Gutachten Kannewischer entnommen hatte, auch wegen der nachträglich eingebauten Zwischenwände für willkürlich hielt. Das ergibt sich schon aus der Beschwerdefrist und entspricht auch dem Sinn und Zweck von Art. 90 Abs. 1 lit. b OG . Nach dieser Bestimmung hat das Bundesgericht einen Entscheid, der wegen Verletzung von Art. 4 BV angefochten wird, nicht umfassend auf allfällige Mängel zu untersuchen, sondern lediglich den vom Beschwerdeführer konkret gerügten Verfassungswidrigkeiten nachzuforschen ( BGE 101 Ia 454 , 99 Ia 692). Es ist deshalb auch nicht zu beanstanden, dass das Obergericht sich im neuen Entscheid nicht gefragt hat, ob die tatsächlich gebaute Werkhalle dem Projekt entsprochen habe, das angeblich zur Zeit des Vertragsschlusses bestanden hat; mangels rechtzeitiger Rügen hatte es vielmehr in tatsächlicher und rechtlicher Hinsicht davon auszugehen, dass dies der Fall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