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371</w:t>
      </w:r>
    </w:p>
    <w:p>
      <w:r>
        <w:t>Bundesgericht (BGE), 1956-05-19, DE</w:t>
      </w:r>
    </w:p>
    <w:p>
      <w:r>
        <w:rPr>
          <w:b/>
        </w:rPr>
        <w:t xml:space="preserve">Quelle: </w:t>
      </w:r>
      <w:r>
        <w:t>https://mcp.opencaselaw.ch/entscheid/bge_BGE_111_II_371</w:t>
      </w:r>
    </w:p>
    <w:p>
      <w:r>
        <w:t>FR: ATF 111 II 371</w:t>
      </w:r>
    </w:p>
    <w:p>
      <w:r>
        <w:t>IT: DTF 111 II 371</w:t>
      </w:r>
    </w:p>
    <w:p>
      <w:pPr>
        <w:pStyle w:val="Heading2"/>
      </w:pPr>
      <w:r>
        <w:t>Regeste</w:t>
      </w:r>
    </w:p>
    <w:p>
      <w:r>
        <w:t>Regeste Frachtvertrag. Verjährung der Forderung auf Frachtlohn. Art. 32 Ziff. 1 des Übereinkommens über den Beförderungsvertrag im internationalen Strassengüterverkehr (CMR) vom 19. Mai 1956. Sämtliche Ansprüche aus einem Vertrag, der in den Geltungsbereich der CMR fällt, unterliegen der einjährigen Verjährungsfrist gemäss Art. 32 Ziff. 1, die der zehnjährigen Verjährungsfrist gemäss Art. 127 OR vorgeht; das gilt auch für Ansprüche des Frachtführers auf Frachtlohn (E. 2).</w:t>
      </w:r>
    </w:p>
    <w:p>
      <w:r>
        <w:t>Regeste Contrat de transport. Prescription de la créance de salaire du transporteur. Art. 32 ch. 1 de la Convention du 19 mai 1956 relative au contrat de transport international de marchandises par route (CMR). Toutes les prétentions découlant d'un contrat régi par la CMR sont soumises à la prescription annale prévue par l'art. 32 ch. 1 qui prime le délai décennal de l'art. 127 CO; cela vaut également pour les prétentions du transporteur en paiement du salaire (consid. 2).</w:t>
      </w:r>
    </w:p>
    <w:p>
      <w:r>
        <w:t>Regesto Contratto di trasporto. Prescrizione del credito per prezzo di trasporto. Art. 32 n. 1 della Convenzione del 19 maggio 1956 concernente il contratto di trasporto internazionale di merci su strada (CMR). Tutte le pretese sgorganti da un contratto retto dalla CMR sono soggette alla prescrizione di un anno stabilita dall'art. 32 n. 1, che prevale sul termine decennale di cui all'art. 127 CO; ciò vale anche per le pretese del vettore relative al prezzo di trasporto (consid. 2).</w:t>
      </w:r>
    </w:p>
    <w:p>
      <w:pPr>
        <w:pStyle w:val="Heading2"/>
      </w:pPr>
      <w:r>
        <w:t>Erwägungen</w:t>
      </w:r>
    </w:p>
    <w:p>
      <w:r>
        <w:rPr>
          <w:b/>
        </w:rPr>
        <w:t>E. 2</w:t>
      </w:r>
    </w:p>
    <w:p>
      <w:r>
        <w:t>Die Klägerin rügt einzig, der Anspruch auf Frachtlohn sei entgegen der Vorinstanz nicht nach Art. 32 Ziff. 1 des Übereinkommens über den Beförderungsvertrag im internationalen Strassengüterverkehr (CMR) vom 19. Mai 1956 (AS 1970 S. 864) verjährt, sondern unterliege der zehnjährigen Frist von Art. 127 OR ; Art. 32 Ziff. 1 CMR gelte nicht für Lohnforderungen des Frachtführers. Der Standpunkt der Klägerin ist offensichtlich unbegründet. Literatur und Rechtsprechung unterstellen sämtliche Ansprüche aus einem Vertrag, der in den Geltungsbereich des Übereinkommens fällt, der einjährigen Verjährungsfrist gemäss Art. 32 Ziff. 1, also auch Forderungen des Frachtführers (Urteil des BGH vom 28. Februar 1975, in Versicherungsrecht 1975, S. 445; BGE 111 II 371 S. 373 HELM, Grosskommentar zum Handelsgesetzbuch, Anm. 1 mit Hinweisen und 7 zu § 452, Anhang III; GLÖCKNER/MUTH, Leitfaden zur CMR, N. 2 und N. 7 zu Art. 32 mit Hinweisen; NICKEL-LANZ, La convention relative au contrat de transport international de marchandises par route, Diss. Lausanne 1976, S. 161 Ziff. 212 a.E. mit Hinweis). Dass sämtliche Voraussetzungen der Anwendbarkeit des Übereinkommens ( Art. 1 Ziff. 1 CMR ) erfüllt sind, wird zu Recht nicht angefochten. Regelt das Übereinkommen den Vertrag umfassend, geht es auch Art. 127 OR vor ( BGE 109 II 472 E. 1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