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260</w:t>
      </w:r>
    </w:p>
    <w:p>
      <w:r>
        <w:t>Bundesgericht (BGE), 1985-01-01, FR</w:t>
      </w:r>
    </w:p>
    <w:p>
      <w:r>
        <w:rPr>
          <w:b/>
        </w:rPr>
        <w:t xml:space="preserve">Quelle: </w:t>
      </w:r>
      <w:r>
        <w:t>https://mcp.opencaselaw.ch/entscheid/bge_BGE_111_II_260</w:t>
      </w:r>
    </w:p>
    <w:p>
      <w:r>
        <w:t>FR: ATF 111 II 260</w:t>
      </w:r>
    </w:p>
    <w:p>
      <w:r>
        <w:t>IT: DTF 111 II 260</w:t>
      </w:r>
    </w:p>
    <w:p>
      <w:pPr>
        <w:pStyle w:val="Heading2"/>
      </w:pPr>
      <w:r>
        <w:t>Regeste</w:t>
      </w:r>
    </w:p>
    <w:p>
      <w:r>
        <w:t>Regeste Arbeitsvertrag mit Versprechen zu Unterhalt und Pflege auf Lebenszeit. Vorzeitige Auflösung eines Arbeitsvertrages und richterliche Ergänzung des lückenhaften Vertrages nach dem hypothetischen Parteiwillen: die vertragliche Verpflichtung des Arbeitgebers zu Unterhalt und Pflege des Arbeitnehmers auf Lebenszeit ersetzt durch die Verpflichtung, eine kapitalisierte Leibrente zu zahlen (E. 2). Vertrauensprinzip als Grundlage für die Auslegung der Erklärung des Arbeitgebers, für den Unterhalt des Arbeitnehmers auf Lebenszeit aufkommen zu wollen (E. 4a).</w:t>
      </w:r>
    </w:p>
    <w:p>
      <w:r>
        <w:t>Regeste Contrat de travail avec promesse d'entretien viager. Complètement d'un contrat lacunaire par le juge, selon la volonté hypothétique des parties: substitution, à une obligation contractuelle de l'employeur de fournir l'entretien viager au travailleur, d'une obligation de verser une rente viagère convertie en capital, en cas de rupture prématurée du contrat de travail (consid. 2). Interprétation selon le principe de la confiance de l'engagement de l'employeur de pourvoir à l'entretien viager du travailleur (consid. 4a).</w:t>
      </w:r>
    </w:p>
    <w:p>
      <w:r>
        <w:t>Regesto Contratto di lavoro con promessa di mantenimento vitalizio. Completamento da parte del giudice, secondo la volontà ipotetica delle parti, di un contratto lacunoso; sostituzione di un'obbligazione contrattuale del datore di lavoro di provvedere al mantenimento vitalizio del lavoratore con l'obbligazione di versare una rendita vitalizia capitalizzata, in caso di scioglimento anticipato del contratto di lavoro (consid. 2). Interpretazione secondo il principio della buona fede dell'impegno assunto dal datore di lavoro di provvedere al mantenimento vitalizio del lavoratore (consid. 4a).</w:t>
      </w:r>
    </w:p>
    <w:p>
      <w:pPr>
        <w:pStyle w:val="Heading2"/>
      </w:pPr>
      <w:r>
        <w:t>Erwägungen</w:t>
      </w:r>
    </w:p>
    <w:p>
      <w:r>
        <w:rPr>
          <w:b/>
        </w:rPr>
        <w:t>E. 1</w:t>
      </w:r>
    </w:p>
    <w:p>
      <w:r>
        <w:t>Le défendeur conteste l'existence même d'un contrat de travail entre les parties pour la première période, de 1966 à 1971, alors que la demanderesse, avec la cour cantonale, admet l'existence de ce contrat. Il ressort des constatations de fait du jugement attaqué, qui lient le Tribunal fédéral ( art. 63 al. 2 OJ ), que durant cette période la demanderesse a voué tout son temps au service du défendeur, dont elle était la subordonnée et qui lui a promis un salaire, d'une part à effet immédiat, en nature, sous forme de gîte et de couvert, d'autre part à effet différé, également en nature, sous forme de gîte et de couvert pour la période où elle ne travaillerait plus ou plus complètement en raison de son âge. La cour cantonale y a vu, à juste titre, tous les éléments d'un contrat de travail ( art. 320 al. 1 CO ). Puisque la convention des parties précisait quels étaient les éléments du salaire, déterminés ou déterminables, il n'y a pas lieu d'examiner comment le salaire devrait être fixé par le juge en application de l' art. 320 al. 2 CO , lorsqu'il n'a pas fait l'objet d'un accord. BGE 111 II 260 S. 262</w:t>
      </w:r>
    </w:p>
    <w:p>
      <w:r>
        <w:rPr>
          <w:b/>
        </w:rPr>
        <w:t>E. 2</w:t>
      </w:r>
    </w:p>
    <w:p>
      <w:r>
        <w:t>a) Lorsqu'en cours d'exécution un contrat se révèle lacunaire, parce que les parties se trouvent confrontées à un problème nouveau qui appelle une solution pour l'exécution régulière du contrat, il y a lieu de combler la lacune comme l'auraient fait des partenaires raisonnables ( ATF 107 II 149 , 218, 414; cf. aussi ATF 108 II 113 s., ATF 100 II 330 s., ATF 99 II 294 ). La cour cantonale considère la rupture prématurée du contrat de travail comme une circonstance qui était imprévue des parties, lorsqu'elles sont convenues que l'employeur continuerait à fournir le gîte et l'entretien au travailleur devenu âgé; le contrat doit être complété par le juge selon la volonté hypothétique des parties; si celles-ci avaient envisagé la question, elles seraient sans doute convenues d'une rente viagère. Ce point de vue ne peut qu'être confirmé. En effet, pour l'hypothèse d'une résiliation prématurée du contrat de travail, emportant rupture des liens personnels entre parties, des partenaires raisonnables auraient substitué à l'obligation de fournir l'entretien viager une obligation de fournir une rente viagère. La cour cantonale n'indique pas expressément sur quelle base juridique elle convertit la rente viagère en capital. Les règles du droit délictuel ( art. 43 CO ) ne sont pas directement applicables. Lorsque le contrat a pour objet le paiement d'une rente, le créancier ne peut pas demander autre chose, en tant qu'exécution de l'obligation contractuelle. Il apparaît que la cour cantonale a également comblé sur ce point la lacune du contrat, en reconnaissant au travailleur la faculté - contractuelle - de demander le paiement d'un capital en lieu et place de la rente. Ce comblement apparaît également raisonnable et conforme au principe généralement reconnu que les créances résultant du contrat de travail deviennent exigibles à la fin de ce contrat ( art. 339 CO ). Les parties ne remettent d'ailleurs pas en cause le principe de la capitalisation.</w:t>
      </w:r>
    </w:p>
    <w:p>
      <w:r>
        <w:rPr>
          <w:b/>
        </w:rPr>
        <w:t>E. 4</w:t>
      </w:r>
    </w:p>
    <w:p>
      <w:r>
        <w:t>a) Le défendeur soutient encore que son engagement de pourvoir à l'entretien de la demanderesse était implicitement subordonné à la condition que le contrat de travail ne serait pas résilié avant terme, surtout par la faute de la travailleuse; cette condition suspensive n'étant pas avenue, l'engagement serait inopérant. L'engagement de l'employeur de pourvoir à l'entretien de la travailleuse, également après l'âge de la retraite, doit être interprété selon le principe de la confiance ( ATF 109 II 329 , ATF 108 II 317 , ATF 105 II 18 et les arrêts cités). BGE 111 II 260 S. 263 Si la travailleuse a renoncé pendant une certaine période à demander un salaire en espèces, contre la promesse de l'employeur de pourvoir à son entretien, l'âge de la retraite venu, cet engagement ne pouvait raisonnablement être compris, à défaut d'autre indication, en ce sens qu'il pourrait être rendu illusoire par une résiliation de la part de l'employeur. Or, en l'espèce, c'est le défendeur qui a résilié le contrat de travail. Cette seule résiliation ne saurait donc mettre fin à l'engagement. On peut sans doute se demander s'il n'en irait pas autrement d'une résiliation déclarée par l'employeur en raison d'un comportement fautif de la travailleuse, rendant intolérable à la longue la continuation des rapports de travail. La question peut toutefois demeurer indécise, car il ne résulte pas des constatations de fait du jugement cantonal, qui lient le Tribunal fédéral, que tel serait le cas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