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52</w:t>
      </w:r>
    </w:p>
    <w:p>
      <w:r>
        <w:t>Bundesgericht (BGE), 1985-01-01, DE</w:t>
      </w:r>
    </w:p>
    <w:p>
      <w:r>
        <w:rPr>
          <w:b/>
        </w:rPr>
        <w:t xml:space="preserve">Quelle: </w:t>
      </w:r>
      <w:r>
        <w:t>https://mcp.opencaselaw.ch/entscheid/bge_BGE_111_III_52</w:t>
      </w:r>
    </w:p>
    <w:p>
      <w:r>
        <w:t>FR: ATF 111 III 52</w:t>
      </w:r>
    </w:p>
    <w:p>
      <w:r>
        <w:t>IT: DTF 111 III 52</w:t>
      </w:r>
    </w:p>
    <w:p>
      <w:pPr>
        <w:pStyle w:val="Heading2"/>
      </w:pPr>
      <w:r>
        <w:t>Regeste</w:t>
      </w:r>
    </w:p>
    <w:p>
      <w:r>
        <w:t>Regeste Pfändung 1. Schutz der Persönlichkeitssphäre des Schuldners. Angaben, welche die Aufsichtsbehörde für die Beurteilung der Kompetenzqualität eines Pfändungsgegenstandes benötigt, kann der Schuldner nicht unter Berufung auf den Schutz seiner Persönlichkeitssphäre verweigern (hier: Angaben über Kundenaufträge im Zusammenhang mit der Pfändung eines Automobils) (E. 3). 2. Aufsichtsbehördliche Abklärung tatsächlicher Verhältnisse von Amtes wegen. Die Aufsichtsbehörde, die dem Schuldner klare Fragen gestellt und ihm eine Frist zu deren Beantwortung sowie zur Einreichung von Beweismitteln angesetzt hat, verletzt ihre Pflicht, die aus der Sicht des Art. 92 SchKG massgebenden tatsächlichen Verhältnisse von Amtes wegen abzuklären, nicht, wenn sie dem Schuldner, der ihrer Aufforderung nicht nachgekommen ist, keine Nachfrist gewährt (E. 2).</w:t>
      </w:r>
    </w:p>
    <w:p>
      <w:r>
        <w:t>Regeste Saisie 1. Protection de la sphère privée du débiteur. Le débiteur ne peut pas refuser, en invoquant la protection de sa sphère privée, de fournir les indications dont l'autorité de surveillance a besoin pour juger de l'insaisissabilité d'un objet (en l'espèce: renseignements relatifs à des commandes de clients qu'il prétend devoir visiter au moyen du véhicule saisi) (consid. 3). 2. Instruction d'office par l'autorité de surveillance. L'autorité de surveillance ne méconnaît pas son devoir d'instruire d'office sur les faits déterminants pour l'application de l'art. 92 LP si, après avoir posé au poursuivi des questions claires en l'invitant à y répondre et à produire des preuves dans un délai déterminé, elle ne prolonge pas ce délai lorsque ses injonctions n'ont pas été respectées (consid. 2).</w:t>
      </w:r>
    </w:p>
    <w:p>
      <w:r>
        <w:t>Regesto Pignoramento 1. Protezione della sfera privata del debitore. Il debitore non può rifiutarsi, invocando la protezione della sua sfera privata, di fornire le indicazioni di cui l'autorità di vigilanza ha bisogno per decidere sulla pignorabilità di un oggetto (nella fattispecie: ragguagli circa le ordinazioni fatte da clienti che il debitore pretende d'aver visitato servendosi del veicolo pignorato) (consid. 3). 2. Accertamento d'ufficio dei fatti da parte dell'autorità di vigilanza. L'autorità di vigilanza non viola il proprio dovere d'acclarare d'ufficio i fatti determinanti per l'applicazione dell'art. 92 LEF se, dopo aver posto al debitore domande chiare, invitandolo a rispondervi e a produrre mezzi di prova entro un certo termine, non proroga tale termine all'interessato che non ha dato seguito alla sua ingiunzione (consid. 2).</w:t>
      </w:r>
    </w:p>
    <w:p>
      <w:pPr>
        <w:pStyle w:val="Heading2"/>
      </w:pPr>
      <w:r>
        <w:t>Erwägungen</w:t>
      </w:r>
    </w:p>
    <w:p>
      <w:r>
        <w:rPr>
          <w:b/>
        </w:rPr>
        <w:t>E. 1</w:t>
      </w:r>
    </w:p>
    <w:p>
      <w:r>
        <w:t>Der Rekurrent macht geltend, aus seinem Schreiben vom 26. August 1985 sei eindeutig hervorgegangen, dass die für den Beweis seiner dortigen Angaben geeigneten Unterlagen bei ihm zur Verfügung gestanden hätten. Falls die Vorinstanz sie wirklich benötigt habe, so wäre sie nach seiner Ansicht verpflichtet gewesen, sie von ihm zu verlangen. Ihre Aufforderung vom 5. August 1985 sei in dieser Hinsicht nicht imperativ formuliert gewesen; es habe geheissen: "wenn möglich". Indem die Vorinstanz die Beschwerde abgewiesen habe, ohne ihm eine Nachfrist zur BGE 111 III 52 S. 54 Einreichung von Beweismitteln anzusetzen, habe sie Bundesrecht verletzt.</w:t>
      </w:r>
    </w:p>
    <w:p>
      <w:r>
        <w:rPr>
          <w:b/>
        </w:rPr>
        <w:t>E. 2</w:t>
      </w:r>
    </w:p>
    <w:p>
      <w:r>
        <w:t>Diesen Vorbringen des Rekurrenten kann nicht beigepflichtet werden. Die Vorinstanz hatte ihm im erwähnten Schreiben vom 5. August 1985 klare Fragen gestellt und beigefügt, er werde gebeten, diese "so detailliert wie möglich" (und nicht etwa: "wenn möglich") zu beantworten und entsprechende Schriftstücke beizulegen. Der Rekurrent war damit unmissverständlich aufgefordert, die zum Nachweis seiner Angaben geeigneten Unterlagen einzureichen, und die Vorinstanz war keineswegs gehalten, ihm hierzu noch eine Nachfrist anzusetzen. Daran vermag sein Hinweis auf BGE 97 III 11 und 59 nichts zu ändern.</w:t>
      </w:r>
    </w:p>
    <w:p>
      <w:r>
        <w:rPr>
          <w:b/>
        </w:rPr>
        <w:t>E. 3</w:t>
      </w:r>
    </w:p>
    <w:p>
      <w:r>
        <w:t>Mit dem Hinweis auf den vertraulichen Inhalt der als Beweismittel in Betracht fallenden Unterlagen scheint sich der Rekurrent auf den Schutz seiner Persönlichkeitssphäre berufen zu wollen. Auch dieser Einwand ist unbehelflich. Bei der Beurteilung der Frage der Pfändbarkeit eines als Berufswerkzeug angesprochenen Automobils ist unter anderem dem Gesichtspunkt der Wirtschaftlichkeit Beachtung zu schenken, da der Zweck des Art. 92 Ziff. 3 SchKG , nämlich dem Schuldner die Existenz zu sichern, nicht erreicht wird durch die Unterlassung der Pfändung von Hilfsmitteln, deren Verwendungskosten in keinem vernünftigen Verhältnis zum Ertrag stehen (vgl. BGE 89 III 34 ; BGE 84 III 20 unten mit Hinweis). Das Betreibungsamt muss deshalb wissen, wieviel der Schuldner dank der Benützung des Fahrzeugs einzunehmen in der Lage ist. Gewiss ist im vorliegenden Fall mit der Offenlegung beispielsweise von Kundenaufträgen ein Eingriff in die Persönlichkeitssphäre des Rekurrenten verbunden, doch ist dies als Nebenwirkung eines ordnungsgemässen Pfändungsvollzuges in Kauf zu nehmen (vgl. GILLIÉRON, in JdT 1985 II S. 5 f. N. 1 betreffend die Auskunftspflicht beim Arrest).</w:t>
      </w:r>
    </w:p>
    <w:p>
      <w:r>
        <w:rPr>
          <w:b/>
        </w:rPr>
        <w:t>E. 4</w:t>
      </w:r>
    </w:p>
    <w:p>
      <w:r>
        <w:t>Dass die Vorinstanz mit dem angefochtenen Entscheid Bundesrecht verletzt hätte, hat der Rekurrent nach dem Gesagten nicht darzutun vermocht.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