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45 vom 1. Januar 1985</w:t>
      </w:r>
    </w:p>
    <w:p>
      <w:r>
        <w:t>Bundesgericht (BGE), 1985-01-01, FR</w:t>
      </w:r>
    </w:p>
    <w:p>
      <w:r>
        <w:rPr>
          <w:b/>
        </w:rPr>
        <w:t xml:space="preserve">Quelle: </w:t>
      </w:r>
      <w:r>
        <w:t>https://mcp.opencaselaw.ch/entscheid/bge_BGE_111_IB_45</w:t>
      </w:r>
    </w:p>
    <w:p>
      <w:r>
        <w:t>FR: BGE BGE 111 IB 45 du 1 janvier 1985</w:t>
      </w:r>
    </w:p>
    <w:p>
      <w:r>
        <w:t>IT: BGE BGE 111 IB 45 del 1 gennaio 1985</w:t>
      </w:r>
    </w:p>
    <w:p>
      <w:pPr>
        <w:pStyle w:val="Heading2"/>
      </w:pPr>
      <w:r>
        <w:t>Regeste</w:t>
      </w:r>
    </w:p>
    <w:p>
      <w:r>
        <w:t>Regeste Art. 25 Abs. 2 FPolV; Begriff der Waldstrasse. Eine Strasse, die einen Wald durchquert, kann nur dann als Waldstrasse im forstrechtlichen Sinne bezeichnet werden, wenn sie der Bewirtschaftung und Erhaltung des Waldes dient und in Bezug auf Ausbau und Linienführung den forstwirtschaftlichen Bedürfnissen entspricht. Dies ist nicht der Fall bei einer Strasse, die im wesentlichen der touristischen Entwicklung der Region dient.</w:t>
      </w:r>
    </w:p>
    <w:p>
      <w:r>
        <w:t>Regeste Art. 25 al. 2 OFor; notion de route forestière. Pour qu'une route traversant une forêt puisse être qualifiée de route forestière, il faut qu'elle soit nécessaire à l'exploitation de cette forêt, serve dans une large mesure à la conservation de celle-ci et réponde aux exigences forestières du point de vue du tracé et de l'équipement. Tel n'est pas le cas d'une route, dont le but est essentiellement le développement touristique de la région.</w:t>
      </w:r>
    </w:p>
    <w:p>
      <w:r>
        <w:t>Regesto Art. 25 cpv. 2 OVPF; nozione di strada forestale. Perché una strada che attraversa un bosco possa essere qualificata come strada forestale occorre che essa sia necessaria per lo sfruttamento di tale bosco, che serva in ampia misura alla conservazione di quest'ultimo e adempia le esigenze forestali per quanto concerne il tracciato e le caratteristiche tecniche. Ciò non è il caso di una strada destinata essenzialmente allo sviluppo turistico della regione.</w:t>
      </w:r>
    </w:p>
    <w:p>
      <w:pPr>
        <w:pStyle w:val="Heading2"/>
      </w:pPr>
      <w:r>
        <w:t>Erwägungen</w:t>
      </w:r>
    </w:p>
    <w:p>
      <w:r>
        <w:rPr>
          <w:b/>
        </w:rPr>
        <w:t>E. 3</w:t>
      </w:r>
    </w:p>
    <w:p>
      <w:r>
        <w:t>c) Aux termes de l'art. 25 al. 2 OFor, les coupes effectuées pour les constructions forestières ne sont pas considérées comme défrichement. Aux termes de la décision attaquée, il en va ainsi des routes forestières dont le gabarit n'excède pas 3 m 50 de largeur. Les recourants ne contestent pas cette manière de voir et le Tribunal fédéral, saisi d'un recours de droit administratif, n'a pas à en vérifier d'office le bien-fondé. Ils contestent, en revanche, que l'ouvrage litigieux puisse être considéré comme une route forestière. De son côté, l'autorité intimée admet implicitement que si ce grief était admis, l'autorisation de défricher serait de la compétence des autorités administratives fédérales en vertu de l'art. 25bis al. 1 lettre a OFor. La notion de route forestière n'est pas définie dans le droit forestier fédéral. Il va cependant de soi qu'une route ne saurait être considérée comme une construction forestière au sens de l'art. 25 al. 2 OFor pour la seule raison qu'elle traverse des régions boisées et, en particulier, des forêts qui se prêtent à l'exploitation. Comme le souligne le Département fédéral de l'intérieur dans ses observations relatives aux recours, il faut en outre qu'elle soit nécessaire à l'exploitation de la forêt, serve dans une large mesure à la conservation de celle-ci et réponde aux exigences forestières du BGE 111 Ib 45 S. 48 point de vue du tracé et de l'équipement. Les milieux spécialisés définissent d'ailleurs, comme route forestière, celle qui constitue la condition indispensable à l'entretien et à l'exploitation de la forêt, en y permettant l'accès de la main-d'oeuvre et des engins aussi bien que le transport du bois récolté (Rapport principal de la Commission d'experts sur une conception globale d'une politique suisse en matière d'économie des forêts et du bois, Berne 1975, p. 89). L'autorité intimée est arrivée à la conclusion que le tronçon discuté était une route forestière en se fondant sur son utilité pour la gestion de la forêt traversée, telle qu'elle avait été "reconnue par le Service forestier". La commune requérante reprend, mot pour mot, cette formule dans sa réponse au recours de droit administratif. En réalité, la reconnaissance du caractère forestier de l'ouvrage litigieux consiste en une simple affirmation de l'Inspecteur forestier d'arrondissement contenue dans la lettre, par laquelle il a transmis la demande communale à l'Inspection cantonale des forêts. Tout au long de la procédure d'expropriation, il n'a en revanche été question, au premier chef, pour définir l'utilité publique du projet, que du développement touristique de Super-Nendaz et de ses environs. Dans la procédure de défrichement, la commune requérante s'est également arrêtée, en vue de la pesée des intérêts en présence, à démontrer la prépondérance de ses besoins touristiques. C'est également sur ceux-ci que les services administratifs ayant donné à l'autorité intimée un préavis favorable sur la demande d'autorisation de défricher se sont appuyés. Enfin, et cela n'est pas indifférent, le Consortage de l'alpage de Tortin qui, en sa qualité de propriétaire des forêts concernées, a la maîtrise sur leur exploitation commerciale, conteste toute nécessité à l'aménagement routier litigieux. Au vu de ce qui précède, il faut admettre que le dernier tronçon de la route Siviez-Tortin constitue un changement durable de la vocation du sol forestier au sens de l'art. 25 al. 1 OFor; il n'est ainsi pas possible de suivre l'autorité intimée lorsqu'elle définit celui-ci comme une route forestière dans la mesure où il ne dépasse pas 3 m 50 de largeur. Une solution contraire équivaudrait à dispenser partiellement, en principe, de l'autorisation de défricher toutes les routes qui traversent des régions forestières, sous le prétexte qu'elles pourraient avoir, une fois, une certaine utilité pour l'exploitation des bois. Tel n'est manifestement pas le but qu'a poursuivi le Conseil fédéral en édictant l'art. 25 al. 2 OFor. BGE 111 Ib 45 S. 49 Il en résulte que l'autorisation de défricher doit être requise non seulement pour la surface en cause de 900 m2, mais pour toute la surface de l'aire forestière mise à contribution par le projet litigieux. L'autorisation de défricher relève ainsi de la compétence des autorités fédérales; les recours de droit administratif doivent dès lors être admis au sens des considérants qui précèdent et l'affaire transmise au Département fédéral de l'intérieur.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