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 vom 1. Januar 1985</w:t>
      </w:r>
    </w:p>
    <w:p>
      <w:r>
        <w:t>Bundesgericht (BGE), 1985-01-01, FR</w:t>
      </w:r>
    </w:p>
    <w:p>
      <w:r>
        <w:rPr>
          <w:b/>
        </w:rPr>
        <w:t xml:space="preserve">Quelle: </w:t>
      </w:r>
      <w:r>
        <w:t>https://mcp.opencaselaw.ch/entscheid/bge_BGE_111_IA_1</w:t>
      </w:r>
    </w:p>
    <w:p>
      <w:r>
        <w:t>FR: BGE BGE 111 IA 1 du 1 janvier 1985</w:t>
      </w:r>
    </w:p>
    <w:p>
      <w:r>
        <w:t>IT: BGE BGE 111 IA 1 del 1 gennaio 1985</w:t>
      </w:r>
    </w:p>
    <w:p>
      <w:pPr>
        <w:pStyle w:val="Heading2"/>
      </w:pPr>
      <w:r>
        <w:t>Regeste</w:t>
      </w:r>
    </w:p>
    <w:p>
      <w:r>
        <w:t>Regeste Art. 4 BV, Begründungspflicht. Der Entscheid über die Höhe der Parteientschädigung muss in der Regel nicht begründet werden.</w:t>
      </w:r>
    </w:p>
    <w:p>
      <w:r>
        <w:t>Regeste Art. 4 Cst., obligation de motiver les décisions. La décision fixant le montant des dépens n'a en principe pas besoin d'être motivée.</w:t>
      </w:r>
    </w:p>
    <w:p>
      <w:r>
        <w:t>Regesto Art. 4 Cost., obbligo di motivare le decisioni. La decisione con cui si fissa l'ammontare dell'indennità per ripetibili non dev'essere, in linea di principio, motivata.</w:t>
      </w:r>
    </w:p>
    <w:p>
      <w:pPr>
        <w:pStyle w:val="Heading2"/>
      </w:pPr>
      <w:r>
        <w:t>Erwägungen</w:t>
      </w:r>
    </w:p>
    <w:p>
      <w:r>
        <w:rPr>
          <w:b/>
        </w:rPr>
        <w:t>E. 2</w:t>
      </w:r>
    </w:p>
    <w:p>
      <w:r>
        <w:t>... a) La jurisprudence a déduit de l' art. 4 Cst. le droit pour les justiciables d'obtenir une décision motivée au moins brièvement, afin qu'ils soient en mesure de vérifier si la loi a été appliquée correctement; il ne faut toutefois pas se montrer trop exigeant lorsque le droit cantonal ne prévoit pas d'obligation de motiver ( ATF 105 Ib 248 s. consid. 2a, ATF 101 Ia 49 , 305 consid. 4c).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BGE 111 Ia 1 S. 2 motivation. Le Tribunal fédéral ne motive d'ailleurs pas, en principe, ses décisions en cette matière pour les causes qui sont portées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