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48</w:t>
      </w:r>
    </w:p>
    <w:p>
      <w:r>
        <w:t>Bundesgericht (BGE), 1984-01-01, DE</w:t>
      </w:r>
    </w:p>
    <w:p>
      <w:r>
        <w:rPr>
          <w:b/>
        </w:rPr>
        <w:t xml:space="preserve">Quelle: </w:t>
      </w:r>
      <w:r>
        <w:t>https://mcp.opencaselaw.ch/entscheid/bge_BGE_110_V_48</w:t>
      </w:r>
    </w:p>
    <w:p>
      <w:r>
        <w:t>FR: ATF 110 V 48</w:t>
      </w:r>
    </w:p>
    <w:p>
      <w:r>
        <w:t>IT: DTF 110 V 48</w:t>
      </w:r>
    </w:p>
    <w:p>
      <w:pPr>
        <w:pStyle w:val="Heading2"/>
      </w:pPr>
      <w:r>
        <w:t>Regeste</w:t>
      </w:r>
    </w:p>
    <w:p>
      <w:r>
        <w:t>Regeste Anfechtungsgegenstand und Streitgegenstand. - Verfügung als Anfechtungsgegenstand und damit Sachurteilsvoraussetzung des nachfolgenden Beschwerdeverfahrens; Voraussetzungen der Ausdehnung des Beschwerdeverfahrens auf eine ausserhalb der Verwaltungsverfügung liegende Frage (Erw. 3b). - Abgrenzung des Anfechtungsgegenstandes vom Streitgegenstand; Voraussetzung der Ausdehnung des Beschwerdeverfahrens auf einen innerhalb der Verwaltungsverfügung liegenden, aber nicht Teil des Streitgegenstandes bildenden Punkt (Erw. 3c). - Streitgegenstand ist das angefochtene Verfügungsdispositiv; Invaliditätsgrad und Berechnungsgrundlagen sind Teilfaktoren der streitigen Rentenfestsetzung (Erw. 3d). Untersuchungsgrundsatz und Prinzip der Rechtsanwendung von Amtes wegen. Tragweite dieser Grundsätze im Hinblick auf die Mitwirkungspflichten der Parteien und das Rügeprinzip; Abgrenzung der Rechtsprechungskompetenz von der Befugnis zum aufsichtsrechtlichen Einschreiten (Erw. 4).</w:t>
      </w:r>
    </w:p>
    <w:p>
      <w:r>
        <w:t>Regeste Objet de la contestation et objet du litige. - L'existence d'une décision formant l'objet de la contestation est une condition pour qu'il y ait jugement au fond dans la procédure de recours subséquente; conditions auxquelles la procédure de recours peut être étendue à une question non visée par la décision administrative (consid. 3b). - Distinction entre l'objet de la contestation et l'objet du litige; conditions auxquelles la procédure de recours peut être étendue à un point tranché par la décision administrative mais qui n'est pas compris dans l'objet du litige (consid. 3c). - La mesure dans laquelle le dispositif de la décision est attaqué détermine l'objet du litige; le degré d'invalidité et les bases de calcul sont autant de facteurs qui déterminent la fixation - contestée - de la rente (consid. 3d). Maxime inquisitoire et application d'office du droit. Portée de ces principes en regard du devoir de collaboration des parties et du principe selon lequel le juge n'examine que les griefs qui sont articulés; délimitation entre la compétence juridictionnelle et le pouvoir d'intervention de l'autorité de surveillance (consid. 4).</w:t>
      </w:r>
    </w:p>
    <w:p>
      <w:r>
        <w:t>Regesto Oggetto impugnato e oggetto litigioso. - L'esistenza di una decisione quale oggetto impugnato è presupposto per il giudizio di merito nella susseguente procedura ricorsuale; condizioni per l'estensione del procedimento di ricorso a un tema estraneo alla decisione amministrativa (consid. 3b). - Distinzione tra oggetto impugnato e oggetto litigioso; condizioni per l'estensione del procedimento di ricorso a un punto contemplato nella decisione amministrativa, ma non facente parte dell'oggetto litigioso (consid. 3c). - Oggetto litigioso è il dispositivo della decisione amministrativa impugnata; grado di invalidità e basi di calcolo sono elementi della determinazione della rendita litigiosa (consid. 3d). Principio inquisitorio e applicazione d'ufficio del diritto. Importanza di detti principi riguardo al dovere di collaborazione delle parti e riguardo il principio che le censure devono essere articolate; delimitazione tra competenza giurisdizionale e potere di intervento dell'autorità di vigilanza (consid. 4).</w:t>
      </w:r>
    </w:p>
    <w:p>
      <w:pPr>
        <w:pStyle w:val="Heading2"/>
      </w:pPr>
      <w:r>
        <w:t>Erwägungen</w:t>
      </w:r>
    </w:p>
    <w:p>
      <w:r>
        <w:rPr>
          <w:b/>
        </w:rPr>
        <w:t>E. 3</w:t>
      </w:r>
    </w:p>
    <w:p>
      <w:r>
        <w:t>a) Mit der Verfügung vom 3. März 1982 ist dem Beschwerdegegner eine ganze Invalidenrente zugesprochen worden. Er hat somit unter dem Gesichtspunkt der für den Rentenanspruch wesentlichen Anspruchsvoraussetzung der Invalidität die höchstmögliche Leistung erhalten (vgl. Art. 28 Abs. 1 IVG ). Bei dieser Sachlage erscheint der Einwand der Schweizerischen Ausgleichskasse als richtig, dass das eingangs wiedergegebene, äusserst knapp formulierte vorinstanzliche Rechtsbegehren des Versicherten nur dahin verstanden werden kann, dass er die Rentenverfügung vom 3. März 1982 weder in bezug auf den Invaliditätsgrad als solchen noch hinsichtlich des mit der Art der Invalidität aufs engste verknüpften Rentenbeginns, sondern einzig unter dem Gesichtswinkel der Rentenberechnung anfocht. Diese Interpretation wird durch die vom Versicherten zum Ausdruck gebrachte Absicht, eine für den Unterhalt der Familie ausreichende, somit eben betragsmässig höhere Invalidenrente zu erhalten, bestätigt. Die Rekurskommission hat jedoch die angefochtene Rentenverfügung in bezug auf die Rentenberechnung nicht geprüft; vielmehr hat sie die Sache zwecks näherer Abklärung an die Verwaltung zurückgewiesen, weil die invaliditätsmässigen Anspruchsvoraussetzungen nach der Aktenlage nicht schlüssig beurteilt werden könnten. Zu prüfen ist, ob die Vorinstanz durch diesen Entscheid in unzulässiger BGE 110 V 48 S. 51 Weise über den Streitgegenstand hinausgegangen ist, wie die Schweizerische Ausgleichskasse sinngemäss behauptet. b)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(vgl. BGE 105 V 276 Erw. 1 mit Hinweisen; GYGI, Bundesverwaltungsrechtspflege, 2. Aufl., S. 44 unten; SALADIN, Das Verwaltungsverfahrensrecht des Bundes, S. 170). Nach der Rechtsprechung des Eidg. Versicherungsgerichts kann das verwaltungsgerichtliche Beschwerdeverfahren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(vgl. BGE 106 V 25 Erw. 3a mit Hinweisen). c) Vom Anfechtungsgegenstand zu unterscheiden ist der Begriff des Streitgegenstandes. Streitgegenstand im System der nachträglichen Verwaltungsrechtspflege ist das Rechtsverhältnis, welches - im Rahmen des durch die Verfügung bestimmten Anfechtungsgegenstandes - den aufgrund der Beschwerdebegehren effektiv angefochtenen Verfügungsgegenstand bildet (GYGI, a.a.O., S. 46; KÖLZ, Kommentar zum Verwaltungsrechtspflegegesetz des Kantons Zürich, S. 131 f. N. 19). Nach dieser Begriffsumschreibung sind Anfechtungsgegenstand und Streitgegenstand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In der Verwaltungsverfügung festgelegte - somit Teil des Anfechtungsgegenstandes bildende -, aber aufgrund der Beschwerdebegehren nicht mehr streitige - somit nicht zum Streitgegenstand BGE 110 V 48 S. 52 zählende - Fragen prüft der Richter nur, wenn die nichtbeanstandeten Punkte in engem Sachzusammenhang mit dem Streitgegenstand stehen ( BGE 101 V 116 Erw. 1 mit Hinweis, BGE 98 V 139 ; ZAK 1968 S. 628). Nicht zum Streitgegenstand gehören blosse Differenzen bezüglich der Begründung einer Verfügung, weil nur das Verfügungsdispositiv, nicht aber die Begründung anfechtbar ist (vgl. BGE 106 V 92 Erw. 1). d) Streitgegenstand des vorinstanzlichen Verfahrens war das Begehren des heutigen Beschwerdegegners, es sei ihm eine höhere als die laut Dispositiv der Kassenverfügung vom 3. März 1982 festgesetzte Rente zuzusprechen, wobei der Antragsteller sinngemäss davon ausging, dass die Rentenberechnung als solche fehlerhaft erfolgt sei. Indem die Rekurskommission statt dessen den Fall lediglich unter dem von keiner Seite in Frage gestellten Gesichtspunkt des Invaliditätsgrades beurteilte und die Sache diesbezüglich zu näherer Abklärung an die Ausgleichskasse zurückwies, ging sie nicht über den Streitgegenstand hinaus; denn der Invaliditätsgrad und die Rentenberechnung als solche bilden nur Teilfaktoren im Rahmen der Festsetzung der streitigen Rente.</w:t>
      </w:r>
    </w:p>
    <w:p>
      <w:r>
        <w:rPr>
          <w:b/>
        </w:rPr>
        <w:t>E. 4</w:t>
      </w:r>
    </w:p>
    <w:p>
      <w:r>
        <w:t>a) Im Prozess vor der Eidgenössischen Rekurskommission der AHV/IV für die im Ausland wohnenden Personen ist grundsätzlich das VwVG anwendbar ( Art. 1 Abs. 2 lit. d VwVG ; Art. 12 Vo über verschiedene Rekurskommissionen (SR 831.161)). Massgeblich sind somit in erster Linie die Art. 44 ff. VwVG ; im Beschwerdeverfahren sind aber auch die allgemeinen Verfahrensgrundsätze des 2. Abschnittes ( Art. 7 ff. VwVG ) zu beachten (SALADIN, a.a.O., S. 92 und S. 163). Nach Art. 12 VwVG stellt die Behörde den Sachverhalt von Amtes wegen fest. Gemäss Art. 62 Abs. 4 VwVG bindet die Begründung der Begehren die Beschwerdeinstanz in keinem Falle. Es gelten somit der Untersuchungsgrundsatz und das Prinzip der Rechtsanwendung von Amtes wegen (SALADIN, a.a.O., S. 113 ff.). Der Untersuchungsgrundsatz besagt, dass Verwaltung und Richter von sich aus für die richtige und vollständige Abklärung des rechtserheblichen Sachverhaltes zu sorgen haben ( BGE 104 V 211 Erw. b in fine, BGE 97 V 177 , BGE 96 V 95 f.; EVGE 1967 S. 144 f.; ZAK 1979 S. 78 Erw. 2b in fine; RSKV 1982 Nr. 492 S. 143 und Nr. 496 S. 158; GYGI, a.a.O., S. 206). Das Prinzip der Rechtsanwendung von Amtes wegen verpflichtet den Richter, auf den festgestellten Sachverhalt jenen Rechtssatz anzuwenden, den er als den zutreffenden BGE 110 V 48 S. 53 ansieht, und ihm auch die Auslegung zu geben, von der er überzeugt ist (GYGI, a.a.O., S. 212). Die beiden erwähnten Grundsätze gelten nicht uneingeschränkt. Sie finden ihr Korrelat in den verschiedenen Mitwirkungspflichten der Parteien ( Art. 13 VwVG ) und namentlich in der in Art. 52 Abs. 1 VwVG aufgestellten Begründungspflicht ( BGE 104 V 211 Erw. b, BGE 97 V 173 ; GYGI, a.a.O., S. 208 ff.; SALADIN, a.a.O., S. 119 f.; PFEIFER, Der Untersuchungsgrundsatz und die Offizialmaxime im Verwaltungsverfahren, S. 123 ff.). Zu beachten ist sodann das Rügeprinzip, welches besagt, dass die Beschwerdeinstanz nicht prüft, ob sich die angefochtene Verfügung unter schlechthin allen in Frage kommenden Aspekten als korrekt erweist, sondern nur die vorgebrachten Beanstandungen untersucht (GYGI, a.a.O., S. 214 ff.; JOST, Zum Rechtsschutz im Wirtschaftsverwaltungsrecht, in: ZSR 101/1982 II S. 513). Diese Prinzipien grenzen den Bereich der verwaltungsgerichtlichen Prüfung von der Befugnis zur aufsichtsmässigen Herstellung des gesetzmässigen Zustandes ab, welche in der Rechtsprechungskompetenz nicht inbegriffen ist (GYGI, a.a.O., S. 44 und S. 213). Zusammenfassend lässt sich sagen, dass die Beschwerdeinstanz zusätzliche Abklärungen nur vornimmt oder veranlasst und von den Verfahrensbeteiligten nicht aufgeworfene Rechtsfragen nur prüft, wenn hiezu aufgrund der Parteivorbringen oder anderer sich aus den Akten ergebenden Anhaltspunkte hinreichender Anlass besteht. b) Da im vorliegenden Fall allseits unbestritten ist, dass dem Beschwerdegegner unter dem Gesichtswinkel der invaliditätsmässigen Voraussetzungen eine ganze Rente zusteht, und da sich auch sonst in den Akten keinerlei Anhaltspunkte finden, die es rechtfertigen würden, auf diese Frage zurückzukommen, ist der die Rückweisung der Sache zur Abklärung der invaliditätsmässigen Voraussetzungen anordnende Entscheid der Rekurskommission aufzuheben.</w:t>
      </w:r>
    </w:p>
    <w:p>
      <w:r>
        <w:rPr>
          <w:b/>
        </w:rPr>
        <w:t>E. 5</w:t>
      </w:r>
    </w:p>
    <w:p>
      <w:r>
        <w:t>Da sich der vorinstanzliche Entscheid zu der allein zu prüfenden Frage der Rentenberechnung nicht ausspricht, wäre grundsätzlich die Rückweisung des Falles an die Vorinstanz am Platz. Indessen hat der Versicherte selber in keinem Stadium des Verfahrens konkrete Beanstandungen hinsichtlich der Rentenberechnung vorgebracht. Auch ist aus den Rentenakten (Kontenauszüge, Berechnungsblatt) kein Fehler ersichtlich, was übrigens vom Bundesamt ausdrücklich bestätigt wird. Da somit der Fall im Rahmen der dem Eidg. Versicherungsgericht in diesem Streit um Versicherungsleistungen zustehenden BGE 110 V 48 S. 54 umfassenden Kognition ( Art. 132 OG ) als spruchreif erscheint und das rechtliche Gehör der Parteien im vorliegenden Verfahren gewahrt worden ist, rechtfertigt es sich, die Sache aus Gründen der Prozessökonomie direkt in dem Sinne zu erledigen, dass der vorinstanzliche Entscheid in Gutheissung der Verwaltungsgerichtsbeschwerde der Schweizerischen Ausgleichskasse aufgehoben und damit die Kassenverfügung vom 3. März 1982 bestätigt wird. Dispositiv Demnach erkennt das Eidg. Versicherungsgericht: In Gutheissung der Verwaltungsgerichtsbeschwerde wird der Entscheid der Eidgenössischen Rekurskommission der AHV/IV für die im Ausland wohnenden Personen vom 31. Januar 1983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