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376</w:t>
      </w:r>
    </w:p>
    <w:p>
      <w:r>
        <w:t>Bundesgericht (BGE), 1980-01-01, DE</w:t>
      </w:r>
    </w:p>
    <w:p>
      <w:r>
        <w:rPr>
          <w:b/>
        </w:rPr>
        <w:t xml:space="preserve">Quelle: </w:t>
      </w:r>
      <w:r>
        <w:t>https://mcp.opencaselaw.ch/entscheid/bge_BGE_110_V_376</w:t>
      </w:r>
    </w:p>
    <w:p>
      <w:r>
        <w:t>FR: ATF 110 V 376</w:t>
      </w:r>
    </w:p>
    <w:p>
      <w:r>
        <w:t>IT: DTF 110 V 376</w:t>
      </w:r>
    </w:p>
    <w:p>
      <w:pPr>
        <w:pStyle w:val="Heading2"/>
      </w:pPr>
      <w:r>
        <w:t>Regeste</w:t>
      </w:r>
    </w:p>
    <w:p>
      <w:r>
        <w:t>Regeste Art. 38bis IVG, 33bis IVV, 41 AHVG, 53bis AHVV. Art. 33bis Abs. 1 IVV (in der seit 1. Januar 1980 gültigen Fassung) widerspricht Art. 38bis Abs. 1 IVG, wonach eine Kürzung der Kinderrenten nur zu erfolgen hat, wenn sie zusammen mit den Renten des Vaters und der Mutter das für sie massgebende durchschnittliche Jahreseinkommen wesentlich übersteigen; diese Verordnungsbestimmung ist demnach gesetzwidrig. Dasselbe gilt für Art. 53bis Abs. 1 AHVV im Verhältnis zu Art. 41 Abs. 1 AHVG.</w:t>
      </w:r>
    </w:p>
    <w:p>
      <w:r>
        <w:t>Regeste Art. 38bis LAI, 33bis RAI, 41 LAVS, 53bis RAVS. L'art. 33bis al. 1 RAI (dans sa teneur en vigueur depuis le 1er janvier 1980) n'est pas compatible avec l'art. 38bis al. 1 LAI, selon lequel les rentes pour enfants ne doivent être réduites que dans la mesure où, ajouté aux rentes du père et de la mère, leur montant dépasserait sensiblement le revenu annuel moyen déterminant pour le calcul de ces dernières; cette disposition réglementaire est dès lors contraire à la loi. Il en va de même de l'art. 53bis al. 1 RAVS par rapport à l'art. 41 al. 1 LAVS.</w:t>
      </w:r>
    </w:p>
    <w:p>
      <w:r>
        <w:t>Regesto Art. 38bis LAI, 33bis OAI, 41 LAVS, 53bis OAVS. L'art. 33bis cpv. 1 OAI (nel testo vigente dal 1o gennaio 1980) contraddice l'art. 38bis cpv. 1 LAI nella misura in cui consente la diminuzione delle rendite per i figli solo in quanto, insieme con le rendite del padre e della madre, superino in modo sensibile il reddito medio determinante per il calcolo di queste ultime; detta disposizione di ordinanza è pertanto difforme dalla legge. Altrettanto deve essere detto per l'art. 53bis cpv. 1 OAVS in relazione con l'art. 41 cpv. 1 LAVS.</w:t>
      </w:r>
    </w:p>
    <w:p>
      <w:pPr>
        <w:pStyle w:val="Heading2"/>
      </w:pPr>
      <w:r>
        <w:t>Erwägungen</w:t>
      </w:r>
    </w:p>
    <w:p>
      <w:r>
        <w:rPr>
          <w:b/>
        </w:rPr>
        <w:t>E. 3</w:t>
      </w:r>
    </w:p>
    <w:p>
      <w:r>
        <w:t>Der Kürzungsbetrag ist auf die einzelnen Kinder- oder Waisenrenten zu verteilen.</w:t>
      </w:r>
    </w:p>
    <w:p>
      <w:r>
        <w:rPr>
          <w:b/>
        </w:rPr>
        <w:t>E. 4</w:t>
      </w:r>
    </w:p>
    <w:p>
      <w:r>
        <w:t>Nach dem Gesagten erweist sich Art. 33bis Abs. 1 IVV als gesetzwidrig, weshalb er auf den vorliegenden Fall nicht Anwendung finden kann. Dies bedeutet indessen nicht, dass von jeglicher Kürzung der Kinderrenten abzusehen wäre. Es rechtfertigt sich vielmehr, von der bis Ende 1979 gültig gewesenen Fassung des Art. 33bis Abs. 1 IVV auszugehen und der Kürzungsberechnung die entsprechenden Toleranzgrenzen von Fr. 1'200.-- bzw. Fr. 600.-- zugrundezulegen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