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298</w:t>
      </w:r>
    </w:p>
    <w:p>
      <w:r>
        <w:t>Bundesgericht (BGE), 1984-01-01, DE</w:t>
      </w:r>
    </w:p>
    <w:p>
      <w:r>
        <w:rPr>
          <w:b/>
        </w:rPr>
        <w:t xml:space="preserve">Quelle: </w:t>
      </w:r>
      <w:r>
        <w:t>https://mcp.opencaselaw.ch/entscheid/bge_BGE_110_V_298</w:t>
      </w:r>
    </w:p>
    <w:p>
      <w:r>
        <w:t>FR: ATF 110 V 298</w:t>
      </w:r>
    </w:p>
    <w:p>
      <w:r>
        <w:t>IT: DTF 110 V 298</w:t>
      </w:r>
    </w:p>
    <w:p>
      <w:pPr>
        <w:pStyle w:val="Heading2"/>
      </w:pPr>
      <w:r>
        <w:t>Regeste</w:t>
      </w:r>
    </w:p>
    <w:p>
      <w:r>
        <w:t>Regeste Art. 47 Abs. 1 AHVG, Art. 49 IVG, Art. 85 Abs. 2 IVV. - Die eine frühere Verfügung berichtigende Wiedererwägung zieht grundsätzlich die Pflicht zur Rückerstattung der von der Invalidenversicherung zu Unrecht bezogenen Leistung nach sich (Art. 47 Abs. 1 AHVG in Verbindung mit Art. 49 IVG). Eine Ausnahme von dieser Regel greift dann Platz, wenn der zur Wiedererwägung führende Fehler bei der Beurteilung eines spezifisch IV-rechtlichen Gesichtspunktes unterlaufen ist (vgl. Art. 85 Abs. 2 IVV) (Präzisierung der Rechtsprechung; Erw. 2a). - Wenn der Fehler (i.c. Zusprechung einer ungekürzten Invalidenrente durch die Ausgleichskasse trotz der von der Invalidenversicherungs-Kommission angeordneten Kürzung wegen Alkoholmissbrauchs) beim Umsetzen des (der Kasse formell richtig mitgeteilten) Beschlusses der Invalidenversicherungs-Kommission in eine Rentenverfügung unterlief, ist ein IV-spezifischer Gesichtspunkt zu verneinen (Erw. 2b).</w:t>
      </w:r>
    </w:p>
    <w:p>
      <w:r>
        <w:t>Regeste Art. 47 al. 1 LAVS, art. 49 LAI, art. 85 al. 2 RAI. - La rectification d'une décision antérieure par la voie de la reconsidération entraîne en principe l'obligation de restituer la prestation de l'assurance-invalidité touchée à tort (art. 47 al. 1 LAVS en liaison avec l'art. 49 LAI). Une exception à cette règle se justifie lorsque la faute qui a donné lieu à reconsidération a été commise dans l'appréciation d'une question spécifique du droit de l'assurance-invalidité (cf. art. 85 al. 2 RAI) (précision de la jurisprudence; consid. 2a). - On n'est pas en présence d'une question spécifique de l'assurance-invalidité lorsque la faute (in casu octroi par la caisse de compensation d'une rente non réduite, en dépit de la réduction pour éthylisme ordonnée par la commission de l'assurance-invalidité) a été commise dans une décision de rente lors de la transcription du prononcé (correctement communiqué à la caisse) de la commission de l'assurance-invalidité (consid. 2b).</w:t>
      </w:r>
    </w:p>
    <w:p>
      <w:r>
        <w:t>Regesto Art. 47 cpv. 1 LAVS, art. 49 LAI, art. 85 cpv. 2 OAI. - La rettificazione in via di riesame di una precedente decisione comporta di principio l'obbligo di restituire la prestazione dell'assicurazione-invalidità indebitamente riscossa (art. 47 cpv. 1 LAVS in unione con art. 49 LAI). Un'eccezione a detto principio è data quando l'errore che ha determinato il riesame è stato commesso nell'apprezzamento di un tema specifico del diritto dell'assicurazione-invalidità (cfr. art. 85 cpv. 2 OAI) (precisazione della giurisprudenza; consid. 2a). - Non si tratta di tema specifico dell'assicurazione-invalidità quando l'errore è stato commesso dalla cassa di compensazione in una decisione di rendita travisando una pronunzia della commissione dell'assicurazione per l'invalidità (i.c. assegnazione di una rendita-invalidità non ridotta benché la commissione avesse disposto la riduzione per etilismo) formalmente notificata alla cassa in modo corretto (consid. 2b).</w:t>
      </w:r>
    </w:p>
    <w:p>
      <w:pPr>
        <w:pStyle w:val="Heading2"/>
      </w:pPr>
      <w:r>
        <w:t>Erwägungen</w:t>
      </w:r>
    </w:p>
    <w:p>
      <w:r>
        <w:rPr>
          <w:b/>
        </w:rPr>
        <w:t>E. 2</w:t>
      </w:r>
    </w:p>
    <w:p>
      <w:r>
        <w:t>Vorerst stellt sich die Frage, ob im vorliegenden Fall die Aufhebung der Leistungen bzw. deren Kürzung überhaupt rückwirkend erfolgen und damit zu einer Rückerstattungsforderung führen kann. a) Die Aufhebung einer Invalidenrente bzw. deren Kürzung im Rahmen einer Wiedererwägung kann nach der bisherigen Rechtsprechung nur dann rückwirkend erfolgen und die Rückerstattung gemäss Art. 47 Abs. 1 AHVG in Verbindung mit Art. 49 IVG nach sich ziehen, wenn der zur Wiedererwägung führende Fehler einen AHV-analogen Gesichtspunkt (z.B. Versicherteneigenschaft, massgebendes durchschnittliches Jahreseinkommen, anwendbare Rentenskala) betrifft. Demgegenüber ist die Wiedererwägung gemäss Art. 85 Abs. 2 IVV nur für die Zukunft wirksam, wenn die Verwaltung bei Erlass der ursprünglichen Verfügung einen spezifisch BGE 110 V 298 S. 301 IV-rechtlichen Gesichtspunkt (z.B. die Bemessung des Invaliditätsgrades) falsch beurteilte. Es ist in jedem einzelnen Fall zu prüfen, "ob der Fehler, der zur Wiedererwägung einer früheren Verfügung führt, einen AHV-analogen oder einen spezifisch IV-rechtlichen Faktor betrifft" ( BGE 105 V 172 Erw. 6a, 175, 107 V 37). Diese Formulierung hat wegen der Unbestimmtheit des Ausdrucks "betrifft" gelegentlich zu Missverständnissen geführt (vgl. z.B. die nur in ZAK 1981 S. 552 veröffentlichte Erw. 2c des Urteils BGE 107 V 36 ). Auch im vorliegenden Fall, in welchem die Ausgleichskasse in ihren Verfügungen vom 26. April 1976 und 2. März 1978 die von der Invalidenversicherungs-Kommission angeordnete Kürzung der Invalidenrente wegen Alkoholmissbrauchs ausser acht liess, ging die Vorinstanz davon aus, bei der Rentenkürzung wegen Selbstverschuldens nach Art. 7 IVG handle es sich um einen spezifisch IV-rechtlichen Gesichtspunkt und der Fehler der Ausgleichskasse "betreffe" mithin einen solchen Faktor. Dabei stellt sich aber im Zusammenhang mit der Prüfung der allfälligen Rückerstattungsforderung die Frage, ob die Verwaltung den Fehler bei der Beurteilung eines AHV-analogen oder IV-spezifischen Faktors beging bzw. worauf sich der Fehler bezieht. Es erscheint daher angezeigt, das Abgrenzungskriterium neu zu umschreiben und die bisherige Rechtsprechung in dem Sinne zu präzisieren, dass die eine frühere Verfügung berichtigende Wiedererwägung grundsätzlich die Pflicht zur Rückerstattung der von der Invalidenversicherung zu Unrecht bezogenen Leistung nach sich zieht ( Art. 47 Abs. 1 AHVG in Verbindung mit Art. 49 IVG ) und dass eine Ausnahme von dieser Regel dann Platz greift, wenn der zur Wiedererwägung führende Fehler bei der Beurteilung eines spezifisch IV-rechtlichen Gesichtspunktes unterlaufen ist (vgl. Art. 85 Abs. 2 IVV ). Unerheblich ist, welche Verwaltungsbehörde (Ausgleichskasse oder Invalidenversicherungs-Kommission) den Fehler begangen hat; entscheidend ist allein die materielle Seite des Fehlers ( BGE 107 V 36 ). b) Kein IV-spezifischer Sachverhalt wurde angenommen, als eine Invalidenversicherungs-Kommission in der Mitteilung ihres Beschlusses an die Ausgleichskasse versehentlich einen Invaliditätsgrad von 100% statt 50% eintrug und die Kasse in der Folge eine ganze statt eine halbe Invalidenrente zusprach; desgleichen, als die Mitteilung des Beschlusses der Invalidenversicherungs-Kommission zwar den zutreffenden Invaliditätsgrad von 50% BGE 110 V 298 S. 302 wiedergab, die Kasse aber irrtümlicherweise eine ganze Rente gewährte (nicht veröffentlichte Urteile Cantin vom 4. Juli 1980 und Weiss vom 17. September 1979). Mit der Beschwerdeführerin ist (entgegen ZAK 1981 S. 552 Erw. 2c) ein IV-spezifischer Gesichtspunkt auch im vorliegenden Fall zu verneinen, in welchem der zur Wiedererwägung führende Fehler beim Umsetzen des - der Kasse richtig mitgeteilten - Beschlusses der Invalidenversicherungs-Kommission in eine Rentenverfügung unterlief und nicht bei der Beurteilung der IV-spezifischen Frage nach der Rentenkürzung gemäss Art. 7 IVG . Die Rückwirkung der Wiedererwägungsverfügung richtet sich daher nach dem in Art. 47 AHVG / Art. 49 IVG enthaltenen Grundsatz und nicht nach der Ausnahmebestimmung des Art. 85 Abs. 2 IVV . Die von der Beschwerdeführerin rückwirkend vorgenommene Kürzung und die verfügte Rückerstattung der zuviel bezogenen Rentenbetreffnisse erweisen sich mithin als rechtmässig, weshalb der vorinstanzliche Entscheid insoweit aufzuheben ist.</w:t>
      </w:r>
    </w:p>
    <w:p>
      <w:r>
        <w:rPr>
          <w:b/>
        </w:rPr>
        <w:t>E. 3</w:t>
      </w:r>
    </w:p>
    <w:p>
      <w:r>
        <w:t>Da der kantonale Richter einen spezifisch IV-rechtlichen Sachverhalt annahm und folglich die Rückerstattungspflicht des Beschwerdegegners verneinte, brauchte er nicht zu prüfen, ob die Zusprechung einer ungekürzten Invalidenrente gemäss Verfügung vom 26. April 1976 auch materiell zweifellos unrichtig war. Er ging zwar davon aus, dass mindestens anfänglich eine Rentenkürzung zweifellos angebracht war. Die Akten liessen jedoch nach seiner Auffassung eine Überprüfung weder der Angemessenheit des angewandten Kürzungssatzes anhand der massgebenden, die Invalidität bewirkenden Faktoren (Alkoholismus, zusätzlicher Gesundheitsschaden) noch der Dauer der Kürzung zu, weshalb die Sache zur Neufestlegung des Kürzungsmasses an die Verwaltung zurückgewiesen wurde, allerdings mit Wirkung erst ab September 1981. Damit kann es aber in zeitlicher Hinsicht nach dem in Erw. 2 Gesagten nicht sein Bewenden haben. Vielmehr hat die Verwaltung, allenfalls durch nähere Abklärung des Sachverhaltes, als Vorfrage zu prüfen, ob die ursprüngliche Verfügung vom 26. April 1976, mit welcher dem Beschwerdegegner eine ungekürzte Rente gewährt wurde, materiell zweifellos unrichtig und ob insofern die Voraussetzung zur Wiedererwägung ( BGE 109 V 112 , 121, BGE 107 V 85 , 182, 192, BGE 106 V 87 , BGE 105 V 30 ) erfüllt war. Hinsichtlich des anwendbaren Kürzungssatzes wird sie zu bestimmen haben, in welchem Ausmass ein zusätzlicher Gesundheitsschaden neben dem Alkoholmissbrauch an der Invalidität beteiligt ist und in welchem BGE 110 V 298 S. 303 masslichen und zeitlichen Verhältnis die Faktoren, welche die Invalidität bewirken, zueinander stehen ( BGE 104 V 2 Erw. 2b, BGE 97 V 230 Erw. 1c). Vom Ergebnis der diesbezüglichen Abklärungen wird abhangen, ob und in welcher Höhe der Beschwerdeführerin ein Rückforderungsanspruch gegenüber dem Beschwerdegegner zusteht.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