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222</w:t>
      </w:r>
    </w:p>
    <w:p>
      <w:r>
        <w:t>Bundesgericht (BGE), 1984-07-05, DE</w:t>
      </w:r>
    </w:p>
    <w:p>
      <w:r>
        <w:rPr>
          <w:b/>
        </w:rPr>
        <w:t xml:space="preserve">Quelle: </w:t>
      </w:r>
      <w:r>
        <w:t>https://mcp.opencaselaw.ch/entscheid/bge_BGE_110_V_222</w:t>
      </w:r>
    </w:p>
    <w:p>
      <w:r>
        <w:t>FR: ATF 110 V 222</w:t>
      </w:r>
    </w:p>
    <w:p>
      <w:r>
        <w:t>IT: DTF 110 V 222</w:t>
      </w:r>
    </w:p>
    <w:p>
      <w:pPr>
        <w:pStyle w:val="Heading2"/>
      </w:pPr>
      <w:r>
        <w:t>Regeste</w:t>
      </w:r>
    </w:p>
    <w:p>
      <w:r>
        <w:t>Regeste Art. 145 OG. Zulässigkeit eines Erläuterungsgesuchs.</w:t>
      </w:r>
    </w:p>
    <w:p>
      <w:r>
        <w:t>Regeste Art. 145 OJ. Recevabilité d'une demande d'interprétation.</w:t>
      </w:r>
    </w:p>
    <w:p>
      <w:r>
        <w:t>Regesto Art. 145 OG. Ammissibilità di una richiesta d'interpretazione.</w:t>
      </w:r>
    </w:p>
    <w:p>
      <w:pPr>
        <w:pStyle w:val="Heading2"/>
      </w:pPr>
      <w:r>
        <w:t>Erwägungen</w:t>
      </w:r>
    </w:p>
    <w:p>
      <w:r>
        <w:rPr>
          <w:b/>
        </w:rPr>
        <w:t>E. 1</w:t>
      </w:r>
    </w:p>
    <w:p>
      <w:r>
        <w:t>Ist der Rechtsspruch eines bundesgerichtlichen Entscheides unklar, unvollständig oder zweideutig oder stehen seine Bestimmungen untereinander oder mit den Entscheidungsgründen im Widerspruch oder enthält er Redaktions- oder Rechnungsfehler, so nimmt das Bundesgericht auf schriftliches Gesuch einer Partei die Erläuterung oder Berichtigung vor ( Art. 145 Abs. 1 OG ). Diese Regelung gilt laut Art. 135 OG in gleicher Weise für die Erläuterung oder Berichtigung von Entscheiden des Eidg. Versicherungsgerichts. Die Erläuterung dient dazu, Abhilfe zu schaffen, wenn die Entscheidformel (Dispositiv) unklar, unvollständig, zweideutig oder in sich widersprüchlich ist. Sie kann sich ferner auf Gegensätze zwischen den Entscheidungsgründen und dem Dispositiv beziehen (GYGI, Bundesverwaltungsrechtspflege, 2. Aufl., S. 228), nicht dagegen auf die Entscheidungsgründe als solche ( BGE 101 Ib 223 Erw. 3; SALADIN, Das Verwaltungsverfahrensrecht des Bundes, S. 216). Die Erwägungen unterliegen der Erläuterung nur, wenn und insoweit der Sinn der Entscheidformel (Dispositiv) erst durch Beizug der Entscheidungsgründe ermittelt werden kann ( BGE 104 V 53 Erw. 1 mit Hinweis; RSKV 1982 Nr. 479 S. 59 Erw. 1a). Die Erläuterung ist schliesslich dazu bestimmt, Redaktions-, blanke Rechnungsfehler oder Kanzleiversehen zu berichtigen ( BGE 99 V 64 Erw. 2; GYGI, a.a.O., S. 228 mit Hinweisen). Unzulässig sind anderseits Erläuterungsgesuche, die auf eine inhaltliche Abänderung der Entscheidung abzielen. Ebensowenig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BGE 110 V 222 S. 223 aufweist. Nicht dazu gehören namentlich Fragen, die vom Gericht nicht zu prüfen waren und über die es deshalb nicht zu entscheiden hatte (zu diesen Punkten vgl. BGE 104 V 55 oben, BGE 101 II 374 ; BIRCHMEIER, Bundesrechtspflege, S. 516; GULDENER, Schweiz. Zivilprozessrecht, 3. Aufl., S. 505 und 535; HAUSER/HAUSER, Erläuterungen zum Gerichtsverfassungsgesetz des Kantons Zürich, 3. Aufl., S. 588 und 590; WALDER-BOHNER, Zivilprozessrecht, 3. Aufl., S. 469).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