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176</w:t>
      </w:r>
    </w:p>
    <w:p>
      <w:r>
        <w:t>Bundesgericht (BGE), 1984-01-01, DE</w:t>
      </w:r>
    </w:p>
    <w:p>
      <w:r>
        <w:rPr>
          <w:b/>
        </w:rPr>
        <w:t xml:space="preserve">Quelle: </w:t>
      </w:r>
      <w:r>
        <w:t>https://mcp.opencaselaw.ch/entscheid/bge_BGE_110_V_176</w:t>
      </w:r>
    </w:p>
    <w:p>
      <w:r>
        <w:t>FR: ATF 110 V 176</w:t>
      </w:r>
    </w:p>
    <w:p>
      <w:r>
        <w:t>IT: DTF 110 V 176</w:t>
      </w:r>
    </w:p>
    <w:p>
      <w:pPr>
        <w:pStyle w:val="Heading2"/>
      </w:pPr>
      <w:r>
        <w:t>Regeste</w:t>
      </w:r>
    </w:p>
    <w:p>
      <w:r>
        <w:t>Regeste Art. 47 Abs. 1 AHVG. - Die Rückerstattung nach Massgabe des Art. 47 Abs. 1 AHVG ist nur möglich, wenn die Voraussetzungen für ein wiedererwägungs- oder revisionsweises Zurückkommen auf die formell rechtskräftige Verfügung, mit welcher die betreffende Leistung zugesprochen worden ist, erfüllt sind (Erw. 2). - Anforderungen an das Verhalten des Versicherten unter den Gesichtspunkten des Gutglaubensschutzes einerseits, der Melde- oder Auskunftspflicht anderseits (Erw. 3).</w:t>
      </w:r>
    </w:p>
    <w:p>
      <w:r>
        <w:t>Regeste Art. 47 al. 1 LAVS. - La restitution selon l'art. 47 al. 1 LAVS n'est possible que lorsque sont remplies les conditions qui permettent de revenir, par la voie de la reconsidération ou de la révision, sur la décision - formellement passée en force - par laquelle la prestation en cause a été accordée (consid. 2). - Exigences quant au comportement de l'assuré sous l'angle de la protection de la bonne foi, d'une part, et de l'obligation de renseigner ou d'annoncer un changement de situation, d'autre part (consid. 3).</w:t>
      </w:r>
    </w:p>
    <w:p>
      <w:r>
        <w:t>Regesto Art. 47 cpv. 1 LAVS. - La restituzione secondo l'art. 47 cpv. 1 LAVS è solo possibile quando sono adempiuti i presupposti i quali consentono il riesame o la revisione della decisione formalmente cresciuta in giudicato, con la quale la relativa prestazione è stata accordata (consid. 2). - Esigenze, per quanto riferite al comportamento dell'assicurato, dal profilo, da un lato della protezione della buona fede e dall'altro dell'obbligo di informare o di annunciare un cambiamento della situazione (consid. 3).</w:t>
      </w:r>
    </w:p>
    <w:p>
      <w:pPr>
        <w:pStyle w:val="Heading2"/>
      </w:pPr>
      <w:r>
        <w:t>Erwägungen</w:t>
      </w:r>
    </w:p>
    <w:p>
      <w:r>
        <w:rPr>
          <w:b/>
        </w:rPr>
        <w:t>E. 1</w:t>
      </w:r>
    </w:p>
    <w:p>
      <w:r>
        <w:t>Gemäss Art. 3 Abs. 1 lit. a ELG sind als privilegiertes Einkommen ( Art. 3 Abs. 2 ELG ) u.a. Naturalien anzurechnen. Dabei werden Verpflegung und Unterkunft in der Landwirtschaft nach den Ansätzen der direkten Bundessteuer berechnet ( Art. 10 Abs. 1 AHVV in Verbindung mit Art. 11 Abs. 1 ELV und Art. 3 Abs. 6 ELG ). Es steht fest, dass die Beschwerdegegnerin durch Arbeit im bäuerlichen Haushalt ihres Neffen volle Verpflegung und Unterkunft verdiente. Zu Recht unbestritten ist auch, dass ihr unter Anrechnung dieser Naturaleinkünfte im Hinblick auf die jeweils massgebliche Einkommensgrenze ( Art. 2 Abs. 1 ELG ) eine geringere Ergänzungsleistung zustand, als sie aufgrund der Verfügung vom 25. Juli 1977 effektiv bezog. Zu prüfen bleibt, ob die Ausgleichskasse befugt war, die Differenz von Fr. 5'509.-- zwischen den tatsächlich ausbezahlten (Fr. 6'190.--) und den Rechtens geschuldeten Ergänzungsleistungen (Fr. 681.--) zurückzufordern. Dabei kann, wie bereits die Vorinstanz zutreffend festhielt, nicht von einer Meldepflichtverletzung ( Art. 24 ELV ) ausgegangen werden; denn die für die Höhe der Ergänzungsleistung wesentlichen tatsächlichen Verhältnisse hinsichtlich Verpflegung und Unterkunft bestanden, bevor sich die Beschwerdegegnerin zum Leistungsbezug angemeldet hatte.</w:t>
      </w:r>
    </w:p>
    <w:p>
      <w:r>
        <w:rPr>
          <w:b/>
        </w:rPr>
        <w:t>E. 2</w:t>
      </w:r>
    </w:p>
    <w:p>
      <w:r>
        <w:t>a) Gemäss Art. 47 Abs. 1 AHVG sind unrechtmässig bezogene Renten und Hilflosenentschädigungen zurückzuerstatten; bei gutem Glauben und gleichzeitigem Vorliegen einer grossen Härte kann von der Rückforderung abgesehen werden. Art. 27 Abs. 1 ELV erklärt diese Ordnung für den Bereich der Ergänzungsleistungen als sinngemäss anwendbar. Nach ständiger Rechtsprechung gilt im Sozialversicherungsrecht der allgemeine Grundsatz, dass die Verwaltung eine formell rechtskräftige Verfügung, die nicht Gegenstand materieller richterlicher Beurteilung gebildet hat, in Wiedererwägung ziehen kann, wenn sie zweifellos unrichtig und ihre Berichtigung von erheblicher Bedeutung ist ( BGE 109 V 112 Erw. 1c und 121 oben, BGE 107 V 84 Erw. 1, 181 Erw. 2a und 192 Erw. 1, BGE 106 V 87 Erw. 1b, BGE 105 V 30 , BGE 103 V 128 , BGE 102 V 17 Erw. 3a, BGE 100 V 25 Erw. 4b, BGE 98 V 104 Erw. 5; EVGE 1969 S. 245 Erw. 2, 1967 S. 220 Erw. 4b, 1966 S. 56 Erw. 2, 1963 S. 86 Erw. 2; ZAK 1983 S. 119 Erw. 1b, 1982 S. 40 Erw. 2). Von dieser Wiedererwägung ist die Art. 85 Abs. 2 lit. h AHVG BGE 110 V 176 S. 179 nachgebildete sogenannte prozessuale Revision von Verwaltungsverfügungen zu unterscheiden: gemäss ständiger Rechtsprechung ist der Sozialversicherungsträger verpflichtet, auf eine formell rechtskräftige Verfügung zurückzukommen, wenn neue Tatsachen oder neue Beweismittel entdeckt werden, die geeignet sind, zu einer andern rechtlichen Beurteilung zu führen ( BGE 109 V 121 Erw. 2b, BGE 108 V 168 Erw. 2b, BGE 106 V 87 Erw. 1b, BGE 102 V 17 Erw. 3a; EVGE 1963 S. 85 Erw. 1 und S. 212 Erw. 2a). Die für die Wiedererwägung formell rechtskräftiger Verfügungen massgebenden Voraussetzungen gelten auch mit Bezug auf die Rückerstattung zu Unrecht bezogener Geldleistungen der AHV und der Invalidenversicherung nach Art. 47 Abs. 1 AHVG bzw. Art. 49 IVG ( BGE 103 V 128 ; vgl. auch BGE 106 V 79 , BGE 105 V 170 Erw. 5 und 6a), der Arbeitslosenversicherung gemäss Art. 35 AlVG ( BGE 107 V 181 Erw. 2a; ARV 1982 Nr. 11 S. 73 Erw. 2a und Nr. 19 S. 115 Erw. 2a) bzw. nunmehr Art. 95 AVIG , der Krankenversicherung (RKUV 1984 Nr. K 578 S. 108), der Erwerbsersatzordnung nach Art. 20 EOG (nicht veröffentlichtes Urteil Bochet vom 23. Dezember 1981) und der Ergänzungsleistungen gemäss Art. 27 Abs. 1 ELV . Das eben Gesagte gilt sinngemäss auch für die prozessuale Revision von rechtskräftigen Verwaltungsverfügungen, mit denen eine Sozialversicherungsleistung zugesprochen worden ist. Somit ist festzuhalten, dass in der Sozialversicherung eine aufgrund einer formell rechtskräftigen (allenfalls formlosen; vgl. BGE 107 V 182 ) Verfügung ausgerichtete Leistung nur zurückzuerstatten ist, wenn entweder die für die Wiedererwägung oder die prozessuale Revision erforderlichen Voraussetzungen erfüllt sind. Entgegen der vorinstanzlichen Auffassung kann deshalb nicht gesagt werden, dass Art. 47 AHVG nach neuerer Rechtsprechung nicht nur die Rückerstattung, sondern zugleich auch die rückwirkende Aufhebung der Leistungsverfügungen regle. b) Im vorliegenden Fall sind die Voraussetzungen für die Wiedererwägung der formell rechtskräftigen Verfügung vom 25. Juli 1977 gegeben: Einerseits weist dieser unangefochten gebliebene Kassenakt wegen der Nichtanrechnung der beträchtlichen Naturaleinkünfte einen groben Fehler auf, weswegen er zweifellos unrichtig ist ( BGE 109 V 113 unten mit Hinweisen); anderseits ist seine Berichtigung im Hinblick auf die Höhe der zu Unrecht ausbezahlten Sozialversicherungsleistungen (Fr. 5'509.--) von erheblicher Bedeutung ( BGE 107 V 182 Erw. 2b). c) ... BGE 110 V 176 S. 180</w:t>
      </w:r>
    </w:p>
    <w:p>
      <w:r>
        <w:rPr>
          <w:b/>
        </w:rPr>
        <w:t>E. 3</w:t>
      </w:r>
    </w:p>
    <w:p>
      <w:r>
        <w:t>a, b) (Hinweis auf BGE 110 V 51 Erw. 3b; Ausführungen darüber, dass die Voraussetzungen dafür erfüllt sind, über die allein Gegenstand der angefochtenen Verfügung bildende Rückforderung der Ausgleichskasse hinaus auch die Frage des Erlasses der Rückerstattung zu prüfen.) c) Hinsichtlich des guten Glaubens als Voraussetzung für den Erlass gemäss Art. 47 Abs. 1 AHVG sind die Voraussetzungen nicht schon mit der Unkenntnis des Rechtsmangels gegeben. Vielmehr darf sich der Bezüger unrechtmässiger Leistungen nicht nur keiner böswilligen Absicht, sondern auch keiner groben Nachlässigkeit schuldig gemacht haben ( BGE 102 V 245 Erw. a). Nach dieser von der Lehre geteilten Auffassung darf der Versicherte, der sich auf den guten Glauben beruft, seine Melde- oder Auskunftspflichten "nicht in grober Weise verletzt haben" (MAURER, Sozialversicherungsrecht, Bd. I, S. 316 oben); eine bloss leichte Verletzung der Sorgfalts- und Aufmerksamkeitspflicht schliesst somit den Begriff des guten Glaubens gemäss Art. 47 Abs. 1 AHVG nicht aus (IMBODEN-RHINOW, Schweizerische Verwaltungsrechtsprechung, 5. Aufl., Bd. I, S. 461 oben mit Hinweis). Die Annahme, dass Nachlässigkeit die Vermutung des guten Glaubens aufhebe, darf nur mit Zurückhaltung getroffen werden (ZAK 1970 S. 338). Das Eidg. Versicherungsgericht hat bei der Beurteilung des guten Glaubens am Erfordernis eines dolosen oder grobfehlerhaften Verhaltens ausdrücklich ( BGE 102 V 245 Erw. a; ZAK 1976 S. 553, 1973 S. 660 f. mit Hinweisen) oder doch sinngemäss festgehalten, indem es den guten Glauben verneinte, wenn der Versicherte es am zumutbaren "Mindestmass an Sorgfalt" fehlen liess (ZAK 1983 S. 508 Erw. 3b, c). Anderseits genügt für die Meldepflichtverletzung nach ständiger Rechtsprechung ein schuldhaftes, gegebenenfalls auch bloss leichtfahrlässiges Fehlverhalten (EVGE 1966 S. 55 Erw. 1b; ZAK 1974 S. 155 Erw. 4). Auch für die Auskunftspflichtverletzung (vgl. z.B. Art. 71 Abs. 1 IVV ) braucht kein qualifiziertes Verschulden im Sinne eines grobfahrlässigen Fehlverhaltens vorzuliegen (nicht publizierte Urteile Schättin vom 17. Mai 1982 und Renggli vom 7. Juni 1978). Daraus erhellt, dass der gute Glaube als Erlassvoraussetzung von vornherein entfällt, wenn der Rückerstattungstatbestand (Melde- oder Auskunftspflichtverletzung) durch ein arglistiges oder grobfahrlässiges Verhalten herbeigeführt wurde. Anderseits kann sich der Versicherte auf den guten Glauben berufen, wenn seine fehlerhafte BGE 110 V 176 S. 181 Handlung oder Unterlassung nur eine leichte Verletzung der Melde- oder Auskunftspflicht darstellt. d) Im vorliegenden Fall ist eine vorsätzliche Nichtdeklaration der erhaltenen Naturalleistungen mit dem kantonalen Gericht auszuschliessen; denn die Akten enthalten keine genügenden Anhaltspunkte dafür, dass sich die Beschwerdegegnerin der Unrechtmässigkeit bewusst gewesen wäre und eine höhere als die ihr zustehende Ergänzungsleistung wissentlich und willentlich erschlichen hätte. Somit bleibt im Hinblick auf die Erlassvoraussetzung des guten Glaubens zu prüfen, ob die Beschwerdegegnerin grobfahrlässig gehandelt oder ob sie bei der Nichtdeklaration der Naturaleinkünfte nur eine leichte Nachlässigkeit begangen hat. Das Eidg. Versicherungsgericht hat in konstanter Praxis ausgeführt, grobe Fahrlässigkeit sei gegeben, wenn jemand das ausser acht lasse, was jedem verständigen Menschen in gleicher Lage und unter gleichen Umständen als beachtlich hätte einleuchten müssen ( BGE 108 V 202 Erw. 3a mit Hinweisen; vgl. auch BGE 106 V 24 Erw. 1b mit Hinweisen). Nach Auffassung der Vorinstanz ist "der Begriff des Naturaleinkommens für Nichtjuristen nicht einfach"; es springe "einem Durchschnittsbürger nicht gleichsam in die Augen, dass die Mitarbeit einer alten Tante auf dem Hof als Erwerbstätigkeit und die freie Kost und Logis als Erwerbseinkommen zu betrachten" seien, und zwar um so weniger, als das Naturaleinkommen seit Januar 1975 nicht mehr versteuert worden sei. Die Ausgleichskasse wendet hiegegen ein, "der Charakter der Ergänzungsleistung" als einer "Bedarfsleistung", welche auch Naturaleinkünfte berücksichtige, sei der Beschwerdegegnerin "sicherlich klar" gewesen. Diese Auseinandersetzung trifft nicht den entscheidenden Punkt. Denn die Beschwerdegegnerin musste nicht die abstrakte Frage nach Naturaleinkommen beantworten; vielmehr wurde dieser Begriff durch Beispiele (Verpflegung, Unterkunft, freie Wohnung, andere Naturalbezüge) in der Fragestellung selber (Ziff. 21b des Anmeldeformulars) erläutert. So wie die Beschwerdegegnerin in der Lage war, selber ausdrücklich die Frage nach "Nutzniessung, Verpfründung, verpfründungsähnliche Vereinbarungen, Wohnrecht" (Ziff. 30 des Anmeldeformulars) durch einen Querstrich zu verneinen, war es ihr auch möglich und zumutbar, die Frage nach Naturaleinkünften wie Verpflegung, Unterkunft, freie Wohnung zu beantworten. Dass das Anmeldeformular von dritter Seite vorbereitet wurde, vermag die nichtbevormundete Beschwerdegegnerin BGE 110 V 176 S. 182 praxisgemäss von ihrer Verantwortung für die Richtigkeit der Angaben nicht zu entlasten (ZAK 1953 S. 154; in BGE 102 V 245 nicht publizierte Erwägung 3b des Urteiles Pfäffli vom 30. August 1976). Bei der Unterzeichnung des Anmeldeformulars hat die Beschwerdegegnerin demnach nicht das Mindestmass an Aufmerksamkeit aufgewendet, das auch von einer 68jährigen, in ländlichen Verhältnissen lebenden und in rechtlichen Dingen unerfahrenen Frau verlangt werden darf. Somit liegt eine nicht leicht zu nehmende Pflichtwidrigkeit vor, welche die Berufung auf den guten Glauben ausschliesst. Dispositiv Demnach erkennt das Eidg. Versicherungsgericht: In Gutheissung der Verwaltungsgerichtsbeschwerde wird der Entscheid des Verwaltungsgerichts des Kantons Luzern vom 22. Februar 1982 aufgehoben. Das Erlassgesuch der Beschwerdegegnerin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