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110 V 137</w:t>
      </w:r>
    </w:p>
    <w:p>
      <w:r>
        <w:t>Bundesgericht (BGE), 1984-04-12, DE</w:t>
      </w:r>
    </w:p>
    <w:p>
      <w:r>
        <w:rPr>
          <w:b/>
        </w:rPr>
        <w:t xml:space="preserve">Quelle: </w:t>
      </w:r>
      <w:r>
        <w:t>https://mcp.opencaselaw.ch/entscheid/bge_BGE_110_V_137</w:t>
      </w:r>
    </w:p>
    <w:p>
      <w:r>
        <w:t>FR: ATF 110 V 137</w:t>
      </w:r>
    </w:p>
    <w:p>
      <w:r>
        <w:t>IT: DTF 110 V 137</w:t>
      </w:r>
    </w:p>
    <w:p>
      <w:pPr>
        <w:pStyle w:val="Heading2"/>
      </w:pPr>
      <w:r>
        <w:t>Regeste</w:t>
      </w:r>
    </w:p>
    <w:p>
      <w:r>
        <w:t>Regeste Art. 85 Abs. 2 lit. f AHVG. Eine kantonale Regelung, die für die Zusprechung einer Parteientschädigung an eine durch einen Anwalt vertretene Partei einen Antrag verlangt, verletzt nicht Bundesrecht.</w:t>
      </w:r>
    </w:p>
    <w:p>
      <w:r>
        <w:t>Regeste Art. 85 al. 2 let. f LAVS. N'est pas contraire au droit fédéral une réglementation cantonale qui prévoit que des dépens en faveur de la partie représentée par un avocat ne sont alloués que sur requête.</w:t>
      </w:r>
    </w:p>
    <w:p>
      <w:r>
        <w:t>Regesto Art. 85 cpv. 2 lett. f LAVS. Non è contraria al diritto federale la norma cantonale secondo la quale le spese ripetibili alla parte rappresentata da un avvocato sono assegnate solo se oggetto di richiesta.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Art. 85 Abs. 2 AHVG wird die Regelung des Rekursverfahrens im AHV-Bereich grundsätzlich - unter Vorbehalt gewisser vereinheitlichender Richtlinien - den Kantonen anheimgestellt (vgl. bundesrätliche Botschaft vom 24. Oktober 1958 zum Entwurf eines Bundesgesetzes betreffend die Änderung des AHVG, BBl 1958 II 1285). Lit. f der zitierten Bestimmung enthält die Vorschrift, dass der obsiegende Beschwerdeführer "Anspruch auf Ersatz der Kosten der Prozessführung und Vertretung nach gerichtlicher Festsetzung" hat. Nach der Praxis der zürcherischen AHV-Rekurskommission wird die Frage der Ausrichtung einer Parteientschädigung nur geprüft, wenn eine solche vom Beschwerdeführer verlangt wird (Schreiben des kantonalen Gerichtes vom 11. Januar 1982; HEINZ MEYER, Verfahrensfragen bei AHV- und IV-Beschwerden, SZS 1981 S. 205).</w:t>
      </w:r>
    </w:p>
    <w:p>
      <w:r>
        <w:rPr>
          <w:b/>
        </w:rPr>
        <w:t>E. 2</w:t>
      </w:r>
    </w:p>
    <w:p>
      <w:r>
        <w:t>Art. 85 Abs. 2 lit. f AHVG enthält den Grundsatz des Entschädigungsanspruchs als solchen. Ob und unter welchen Voraussetzungen der Anspruch geltend gemacht werden muss, ist der BGE 110 V 137 S. 138 Bestimmung nicht zu entnehmen. Dies im Gegensatz etwa zum Wortlaut des - hier nicht anwendbaren - Art. 64 Abs. 1 VwVG , wonach die Entschädigung auch von Amtes wegen zugesprochen werden kann. Wenn der Bundesgesetzgeber in Art. 85 Abs. 2 lit. f AHVG hierüber nichts anordnen wollte, dann beliess er die nähere Regelung den Kantonen, dies gemäss dem Ingress zum Abs. 2 von Art. 85 AHVG . Die Vorinstanz hat demzufolge nicht Bundesrecht verletzt, wenn sie dem Beschwerdeführer keine Parteientschädigung zusprach. Die Verwaltungsgerichtsbeschwerde ist daher abzuweisen.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